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CF96">
      <w:pPr>
        <w:pStyle w:val="2"/>
        <w:jc w:val="center"/>
        <w:rPr>
          <w:rFonts w:hint="eastAsia" w:ascii="宋体" w:hAnsi="宋体" w:eastAsia="宋体"/>
          <w:color w:val="auto"/>
          <w:highlight w:val="none"/>
        </w:rPr>
      </w:pPr>
      <w:bookmarkStart w:id="0" w:name="_Toc15629"/>
      <w:bookmarkStart w:id="1" w:name="_Toc38631009"/>
      <w:bookmarkStart w:id="2" w:name="_Toc184635067"/>
      <w:bookmarkStart w:id="3" w:name="_Toc245394541"/>
      <w:bookmarkStart w:id="4" w:name="_Toc253211885"/>
      <w:r>
        <w:rPr>
          <w:rFonts w:hint="eastAsia" w:ascii="宋体" w:hAnsi="宋体" w:eastAsia="宋体"/>
          <w:color w:val="auto"/>
          <w:highlight w:val="none"/>
        </w:rPr>
        <w:t>昆明公交集团有限责任公司场站监控系统运维服务项目</w:t>
      </w:r>
    </w:p>
    <w:p w14:paraId="7AD869D6">
      <w:pPr>
        <w:pStyle w:val="2"/>
        <w:jc w:val="center"/>
        <w:rPr>
          <w:rFonts w:hint="eastAsia" w:ascii="宋体" w:hAnsi="宋体" w:eastAsia="宋体"/>
          <w:color w:val="auto"/>
          <w:highlight w:val="none"/>
        </w:rPr>
      </w:pPr>
      <w:bookmarkStart w:id="6" w:name="_GoBack"/>
      <w:r>
        <w:rPr>
          <w:rFonts w:hint="eastAsia" w:ascii="宋体" w:hAnsi="宋体" w:eastAsia="宋体"/>
          <w:color w:val="auto"/>
          <w:highlight w:val="none"/>
        </w:rPr>
        <w:t>竞争性谈判</w:t>
      </w:r>
      <w:bookmarkStart w:id="5" w:name="_Toc314344989"/>
      <w:r>
        <w:rPr>
          <w:rFonts w:hint="eastAsia" w:ascii="宋体" w:hAnsi="宋体" w:eastAsia="宋体"/>
          <w:color w:val="auto"/>
          <w:highlight w:val="none"/>
        </w:rPr>
        <w:t>公告</w:t>
      </w:r>
      <w:bookmarkEnd w:id="0"/>
      <w:bookmarkEnd w:id="1"/>
      <w:bookmarkEnd w:id="2"/>
      <w:bookmarkEnd w:id="3"/>
      <w:bookmarkEnd w:id="4"/>
      <w:bookmarkEnd w:id="5"/>
    </w:p>
    <w:bookmarkEnd w:id="6"/>
    <w:p w14:paraId="69E1B160">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1.采购条件</w:t>
      </w:r>
    </w:p>
    <w:p w14:paraId="5A266BC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本项目为昆明公交集团有限责任公司场站监控系统运维服务项目，</w:t>
      </w:r>
      <w:r>
        <w:rPr>
          <w:rFonts w:hint="eastAsia" w:ascii="宋体" w:hAnsi="宋体"/>
          <w:bCs/>
          <w:color w:val="auto"/>
          <w:sz w:val="21"/>
          <w:szCs w:val="21"/>
          <w:highlight w:val="none"/>
          <w:lang w:eastAsia="zh-CN"/>
        </w:rPr>
        <w:t>采购人</w:t>
      </w:r>
      <w:r>
        <w:rPr>
          <w:rFonts w:hint="eastAsia" w:ascii="宋体" w:hAnsi="宋体"/>
          <w:bCs/>
          <w:color w:val="auto"/>
          <w:sz w:val="21"/>
          <w:szCs w:val="21"/>
          <w:highlight w:val="none"/>
        </w:rPr>
        <w:t>为昆明公交集团有限责任公司，项目资金来自企业自筹，</w:t>
      </w:r>
      <w:r>
        <w:rPr>
          <w:rFonts w:hint="eastAsia" w:ascii="宋体" w:hAnsi="宋体"/>
          <w:bCs/>
          <w:color w:val="auto"/>
          <w:sz w:val="21"/>
          <w:szCs w:val="21"/>
          <w:highlight w:val="none"/>
          <w:lang w:eastAsia="zh-CN"/>
        </w:rPr>
        <w:t>采购</w:t>
      </w:r>
      <w:r>
        <w:rPr>
          <w:rFonts w:hint="eastAsia" w:ascii="宋体" w:hAnsi="宋体"/>
          <w:bCs/>
          <w:color w:val="auto"/>
          <w:sz w:val="21"/>
          <w:szCs w:val="21"/>
          <w:highlight w:val="none"/>
        </w:rPr>
        <w:t>代理机构为云南国瑞咨询管理有限公司，项目已具备谈判条件，现对该项目进行竞争性谈判。</w:t>
      </w:r>
    </w:p>
    <w:p w14:paraId="422D426E">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2.项目概况及</w:t>
      </w:r>
      <w:r>
        <w:rPr>
          <w:rFonts w:ascii="宋体" w:hAnsi="宋体"/>
          <w:b/>
          <w:color w:val="auto"/>
          <w:sz w:val="21"/>
          <w:szCs w:val="21"/>
          <w:highlight w:val="none"/>
        </w:rPr>
        <w:t>范围</w:t>
      </w:r>
    </w:p>
    <w:p w14:paraId="319187A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2.1服务</w:t>
      </w:r>
      <w:r>
        <w:rPr>
          <w:rFonts w:ascii="宋体" w:hAnsi="宋体"/>
          <w:bCs/>
          <w:color w:val="auto"/>
          <w:sz w:val="21"/>
          <w:szCs w:val="21"/>
          <w:highlight w:val="none"/>
        </w:rPr>
        <w:t>地点</w:t>
      </w:r>
      <w:r>
        <w:rPr>
          <w:rFonts w:hint="eastAsia" w:ascii="宋体" w:hAnsi="宋体"/>
          <w:bCs/>
          <w:color w:val="auto"/>
          <w:sz w:val="21"/>
          <w:szCs w:val="21"/>
          <w:highlight w:val="none"/>
        </w:rPr>
        <w:t>：昆明公交集团有限责任公司所有场站。</w:t>
      </w:r>
    </w:p>
    <w:p w14:paraId="28DD549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2.2总投资：约29.</w:t>
      </w:r>
      <w:r>
        <w:rPr>
          <w:rFonts w:hint="eastAsia" w:ascii="宋体" w:hAnsi="宋体"/>
          <w:bCs/>
          <w:color w:val="auto"/>
          <w:sz w:val="21"/>
          <w:szCs w:val="21"/>
          <w:highlight w:val="none"/>
          <w:lang w:val="en-US" w:eastAsia="zh-CN"/>
        </w:rPr>
        <w:t>25</w:t>
      </w:r>
      <w:r>
        <w:rPr>
          <w:rFonts w:hint="eastAsia" w:ascii="宋体" w:hAnsi="宋体"/>
          <w:bCs/>
          <w:color w:val="auto"/>
          <w:sz w:val="21"/>
          <w:szCs w:val="21"/>
          <w:highlight w:val="none"/>
        </w:rPr>
        <w:t>万元。</w:t>
      </w:r>
    </w:p>
    <w:p w14:paraId="0339B81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2.3</w:t>
      </w:r>
      <w:r>
        <w:rPr>
          <w:rFonts w:hint="eastAsia" w:ascii="宋体" w:hAnsi="宋体" w:cs="HiddenHorzOCR"/>
          <w:color w:val="auto"/>
          <w:sz w:val="21"/>
          <w:szCs w:val="21"/>
          <w:highlight w:val="none"/>
          <w:lang w:eastAsia="zh-CN"/>
        </w:rPr>
        <w:t>谈判</w:t>
      </w:r>
      <w:r>
        <w:rPr>
          <w:rFonts w:hint="eastAsia" w:ascii="宋体" w:hAnsi="宋体"/>
          <w:bCs/>
          <w:color w:val="auto"/>
          <w:sz w:val="21"/>
          <w:szCs w:val="21"/>
          <w:highlight w:val="none"/>
        </w:rPr>
        <w:t>范围：(1)对昆明公交集团有限责任公司所有场站约</w:t>
      </w:r>
      <w:r>
        <w:rPr>
          <w:rFonts w:hint="eastAsia" w:ascii="宋体" w:hAnsi="宋体"/>
          <w:bCs/>
          <w:color w:val="auto"/>
          <w:sz w:val="21"/>
          <w:szCs w:val="21"/>
          <w:highlight w:val="none"/>
          <w:lang w:val="en-US" w:eastAsia="zh-CN"/>
        </w:rPr>
        <w:t>785</w:t>
      </w:r>
      <w:r>
        <w:rPr>
          <w:rFonts w:hint="eastAsia" w:ascii="宋体" w:hAnsi="宋体"/>
          <w:bCs/>
          <w:color w:val="auto"/>
          <w:sz w:val="21"/>
          <w:szCs w:val="21"/>
          <w:highlight w:val="none"/>
        </w:rPr>
        <w:t>个视频监控系统设备进行维护（具体以实际维护数量为准），以确保昆明公交集团有限责任公司所有场站视频监控系统设备正常运行，包含摄像头、硬盘录像机、数据及控制线路、电源线路、通讯线路的巡检、维护、维修、更换工作；提供确保系统正常运行的维护保养方案、系统的维修维护、日常巡检工作方案（详见竞争性谈判文件服务要求）。</w:t>
      </w:r>
    </w:p>
    <w:p w14:paraId="6511E93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 为确保昆明公交集团有限责任公司所有场站视频监控系统设备正常运行,对质保期以外产品进行相应备品备件的采购、安装调试工作,所提供备品备件须与原系统设备匹配（详见竞争性谈判文件服务要求）。</w:t>
      </w:r>
    </w:p>
    <w:p w14:paraId="6B70780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2.4服务期限：一年（</w:t>
      </w:r>
      <w:r>
        <w:rPr>
          <w:rFonts w:hint="eastAsia" w:ascii="宋体" w:hAnsi="宋体"/>
          <w:bCs/>
          <w:color w:val="auto"/>
          <w:sz w:val="21"/>
          <w:szCs w:val="21"/>
          <w:highlight w:val="none"/>
          <w:lang w:eastAsia="zh-CN"/>
        </w:rPr>
        <w:t>以</w:t>
      </w:r>
      <w:r>
        <w:rPr>
          <w:rFonts w:hint="eastAsia" w:ascii="宋体" w:hAnsi="宋体"/>
          <w:bCs/>
          <w:color w:val="auto"/>
          <w:sz w:val="21"/>
          <w:szCs w:val="21"/>
          <w:highlight w:val="none"/>
        </w:rPr>
        <w:t>合同</w:t>
      </w:r>
      <w:r>
        <w:rPr>
          <w:rFonts w:hint="eastAsia" w:ascii="宋体" w:hAnsi="宋体"/>
          <w:bCs/>
          <w:color w:val="auto"/>
          <w:sz w:val="21"/>
          <w:szCs w:val="21"/>
          <w:highlight w:val="none"/>
          <w:lang w:eastAsia="zh-CN"/>
        </w:rPr>
        <w:t>约定日期</w:t>
      </w:r>
      <w:r>
        <w:rPr>
          <w:rFonts w:hint="eastAsia" w:ascii="宋体" w:hAnsi="宋体"/>
          <w:bCs/>
          <w:color w:val="auto"/>
          <w:sz w:val="21"/>
          <w:szCs w:val="21"/>
          <w:highlight w:val="none"/>
        </w:rPr>
        <w:t>起算）。</w:t>
      </w:r>
    </w:p>
    <w:p w14:paraId="5E79E5FA">
      <w:pPr>
        <w:spacing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rPr>
        <w:t>2.5质量要求：符合国家及现行相关行业技术标准及验收规范，确保监控设备稳定、可靠、安全、高效和不间断地运行。</w:t>
      </w:r>
    </w:p>
    <w:p w14:paraId="61B5A7C6">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3.</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资格要求</w:t>
      </w:r>
    </w:p>
    <w:p w14:paraId="56CD47B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3.1在中华人民共和国境内注册具有独立法人资格的企业，具有承担民事责任的能力，且具有履行合同所必须的设备、资金、人员及专业技术能力。经营范围符合本项目要求；</w:t>
      </w:r>
    </w:p>
    <w:p w14:paraId="6EF801A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3.2</w:t>
      </w:r>
      <w:r>
        <w:rPr>
          <w:rFonts w:hint="eastAsia" w:ascii="宋体" w:hAnsi="宋体" w:eastAsia="宋体" w:cs="Times New Roman"/>
          <w:color w:val="auto"/>
          <w:sz w:val="21"/>
          <w:szCs w:val="21"/>
          <w:highlight w:val="none"/>
          <w:lang w:eastAsia="zh-CN"/>
        </w:rPr>
        <w:t>供应商提供</w:t>
      </w:r>
      <w:r>
        <w:rPr>
          <w:rFonts w:hint="eastAsia" w:ascii="宋体" w:hAnsi="宋体" w:eastAsia="宋体" w:cs="Times New Roman"/>
          <w:color w:val="auto"/>
          <w:sz w:val="21"/>
          <w:szCs w:val="21"/>
          <w:highlight w:val="none"/>
          <w:lang w:val="en-US" w:eastAsia="zh-CN"/>
        </w:rPr>
        <w:t>2022年度或</w:t>
      </w:r>
      <w:r>
        <w:rPr>
          <w:rFonts w:hint="eastAsia" w:ascii="宋体" w:hAnsi="宋体" w:eastAsia="宋体" w:cs="Times New Roman"/>
          <w:color w:val="auto"/>
          <w:sz w:val="21"/>
          <w:szCs w:val="21"/>
          <w:highlight w:val="none"/>
          <w:lang w:eastAsia="zh-CN"/>
        </w:rPr>
        <w:t>202</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年度经会计师事务所或审计机构审计的审计报告及财务报表（包括资产负债表、利润表或损益表、现金流量表），或提供自提交响应文件截止时间前三个月内基本开户银行出具的资信证明</w:t>
      </w:r>
      <w:r>
        <w:rPr>
          <w:rFonts w:hint="eastAsia" w:ascii="宋体" w:hAnsi="宋体"/>
          <w:color w:val="auto"/>
          <w:sz w:val="21"/>
          <w:szCs w:val="21"/>
          <w:highlight w:val="none"/>
        </w:rPr>
        <w:t>；</w:t>
      </w:r>
    </w:p>
    <w:p w14:paraId="4AABD696">
      <w:pPr>
        <w:spacing w:line="360" w:lineRule="auto"/>
        <w:ind w:firstLine="420" w:firstLineChars="200"/>
        <w:rPr>
          <w:rFonts w:hint="eastAsia" w:ascii="宋体" w:hAnsi="宋体"/>
          <w:color w:val="auto"/>
          <w:sz w:val="21"/>
          <w:szCs w:val="21"/>
          <w:highlight w:val="none"/>
          <w:lang w:eastAsia="zh-CN"/>
        </w:rPr>
      </w:pPr>
      <w:r>
        <w:rPr>
          <w:rFonts w:ascii="宋体" w:hAnsi="宋体"/>
          <w:color w:val="auto"/>
          <w:sz w:val="21"/>
          <w:szCs w:val="21"/>
          <w:highlight w:val="none"/>
        </w:rPr>
        <w:t>3.3</w:t>
      </w:r>
      <w:r>
        <w:rPr>
          <w:rFonts w:hint="eastAsia" w:ascii="宋体" w:hAnsi="宋体"/>
          <w:color w:val="auto"/>
          <w:sz w:val="21"/>
          <w:szCs w:val="21"/>
          <w:highlight w:val="none"/>
        </w:rPr>
        <w:t>具有依法缴纳税收和社会保障资金的良好记录，提供在谈判截止日期之前12个月内任意1个月的税务局税收通用缴款书或银行电子缴税（费）凭证，或谈判截止日期之前12个月内税务局出具纳税情况的相关证明材料；依法免税的，应提供依法免税的相关证明文件。（工商登记注册之日起至谈判截止时间不满三个月的不需提供）</w:t>
      </w:r>
      <w:r>
        <w:rPr>
          <w:rFonts w:hint="eastAsia" w:ascii="宋体" w:hAnsi="宋体"/>
          <w:color w:val="auto"/>
          <w:sz w:val="21"/>
          <w:szCs w:val="21"/>
          <w:highlight w:val="none"/>
          <w:lang w:eastAsia="zh-CN"/>
        </w:rPr>
        <w:t>。</w:t>
      </w:r>
    </w:p>
    <w:p w14:paraId="277026A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提供谈判截止日期之前12个月内任意1个月的社会保险费缴款书或银行电子缴税（费）凭证，或谈判截止日期之前12个月内社保管理部门出具的有效的社保缴纳情况的相关证明材料；依法免缴社会保险费的，应提供依法免缴的相关证明文件。（工商登记注册之日起至谈判截止时间不满三个月的不需提供）。</w:t>
      </w:r>
    </w:p>
    <w:p w14:paraId="176F3BD4">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4</w:t>
      </w:r>
      <w:r>
        <w:rPr>
          <w:rFonts w:hint="eastAsia" w:ascii="宋体" w:hAnsi="宋体"/>
          <w:color w:val="auto"/>
          <w:sz w:val="21"/>
          <w:szCs w:val="21"/>
          <w:highlight w:val="none"/>
        </w:rPr>
        <w:t>具有履行合同所必需的设备和专业技术能力，采购人全线使用海康威视相关产品，且面向社会重要行业，需要保障采购人系统的可靠性和稳定性，</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w:t>
      </w:r>
      <w:r>
        <w:rPr>
          <w:rFonts w:hint="eastAsia" w:ascii="宋体" w:hAnsi="宋体"/>
          <w:color w:val="auto"/>
          <w:sz w:val="21"/>
          <w:szCs w:val="21"/>
          <w:highlight w:val="none"/>
          <w:lang w:eastAsia="zh-CN"/>
        </w:rPr>
        <w:t>同时</w:t>
      </w:r>
      <w:r>
        <w:rPr>
          <w:rFonts w:hint="eastAsia" w:ascii="宋体" w:hAnsi="宋体"/>
          <w:color w:val="auto"/>
          <w:sz w:val="21"/>
          <w:szCs w:val="21"/>
          <w:highlight w:val="none"/>
        </w:rPr>
        <w:t>具备以下三个条件：提供安防设备生产商（海康威视）针对该服务项目的授权书。提供安防设备生产商（海康威视）认证工程师证书。提供2020年至今从事过类似安防系统维护项目合同金额大于15万元的业绩壹份。【</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中须提供业绩证明材料：中标通知书或合同协议书复印件，否则不予认可】；</w:t>
      </w:r>
    </w:p>
    <w:p w14:paraId="6BED0604">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5</w:t>
      </w:r>
      <w:r>
        <w:rPr>
          <w:rFonts w:hint="eastAsia" w:ascii="宋体" w:hAnsi="宋体"/>
          <w:color w:val="auto"/>
          <w:sz w:val="21"/>
          <w:szCs w:val="21"/>
          <w:highlight w:val="none"/>
        </w:rPr>
        <w:t>企业目前没有处于被停产停业、暂扣或吊销许可证、暂扣或吊销执照的；未进入清算程序、财产被接管或破产状态，投标资格被暂停或取消，无国家禁止市场准入等情形、或其他丧失履约能力的情形；近三年内无违法违纪、无可能影响参与本次招投标的重大法律诉讼事项（格式自拟）。</w:t>
      </w:r>
    </w:p>
    <w:p w14:paraId="392397D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6</w:t>
      </w:r>
      <w:r>
        <w:rPr>
          <w:rFonts w:hint="eastAsia" w:ascii="宋体" w:hAnsi="宋体"/>
          <w:color w:val="auto"/>
          <w:sz w:val="21"/>
          <w:szCs w:val="21"/>
          <w:highlight w:val="none"/>
        </w:rPr>
        <w:t>项目对失信被执行人，按照《关于在招标投标活动中对失信被执行人实施联合惩戒的通知》（法【2016】285号）执行。由</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通过“信用中国”网站（ www.creditchina.gov.cn）查询未列入税收违法黑名单、未列入政府采购严重违法失信行为记录名单查询结果网页截图。http://zxgk.court.gov.cn/shixin/查询失信被执行人。对被列入失信被执行人的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处理方法和评标标准：由招标代理机构在开标后统一查询提交至评委会的查询结果为准，对严重失信主体按照《昆明市严重失信主体公共资源交易领域惩戒实施细则》（昆政规【2019】2号）执行；</w:t>
      </w:r>
    </w:p>
    <w:p w14:paraId="48871A8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7</w:t>
      </w:r>
      <w:r>
        <w:rPr>
          <w:rFonts w:hint="eastAsia" w:ascii="宋体" w:hAnsi="宋体"/>
          <w:color w:val="auto"/>
          <w:sz w:val="21"/>
          <w:szCs w:val="21"/>
          <w:highlight w:val="none"/>
          <w:lang w:eastAsia="zh-CN"/>
        </w:rPr>
        <w:t>本次</w:t>
      </w:r>
      <w:r>
        <w:rPr>
          <w:rFonts w:hint="eastAsia" w:ascii="宋体" w:hAnsi="宋体"/>
          <w:color w:val="auto"/>
          <w:sz w:val="21"/>
          <w:szCs w:val="21"/>
          <w:highlight w:val="none"/>
        </w:rPr>
        <w:t>竞争性谈判不接受联合体，严禁分包、转包；</w:t>
      </w:r>
    </w:p>
    <w:p w14:paraId="6E8AEC4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8</w:t>
      </w:r>
      <w:r>
        <w:rPr>
          <w:rFonts w:hint="eastAsia" w:ascii="宋体" w:hAnsi="宋体"/>
          <w:color w:val="auto"/>
          <w:sz w:val="21"/>
          <w:szCs w:val="21"/>
          <w:highlight w:val="none"/>
          <w:lang w:eastAsia="zh-CN"/>
        </w:rPr>
        <w:t>第</w:t>
      </w:r>
      <w:r>
        <w:rPr>
          <w:rFonts w:hint="eastAsia" w:ascii="宋体" w:hAnsi="宋体"/>
          <w:color w:val="auto"/>
          <w:sz w:val="21"/>
          <w:szCs w:val="21"/>
          <w:highlight w:val="none"/>
        </w:rPr>
        <w:t>一</w:t>
      </w:r>
      <w:r>
        <w:rPr>
          <w:rFonts w:hint="eastAsia" w:ascii="宋体" w:hAnsi="宋体"/>
          <w:color w:val="auto"/>
          <w:sz w:val="21"/>
          <w:szCs w:val="21"/>
          <w:highlight w:val="none"/>
          <w:lang w:eastAsia="zh-CN"/>
        </w:rPr>
        <w:t>成交候选人</w:t>
      </w:r>
      <w:r>
        <w:rPr>
          <w:rFonts w:hint="eastAsia" w:ascii="宋体" w:hAnsi="宋体"/>
          <w:color w:val="auto"/>
          <w:sz w:val="21"/>
          <w:szCs w:val="21"/>
          <w:highlight w:val="none"/>
        </w:rPr>
        <w:t>的行贿犯罪档案信息查询，</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等可以通过“中国裁判文书网”查询相关信息。若经</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查询存在行贿犯罪情形的，取消其</w:t>
      </w:r>
      <w:r>
        <w:rPr>
          <w:rFonts w:hint="eastAsia" w:ascii="宋体" w:hAnsi="宋体"/>
          <w:color w:val="auto"/>
          <w:sz w:val="21"/>
          <w:szCs w:val="21"/>
          <w:highlight w:val="none"/>
          <w:lang w:eastAsia="zh-CN"/>
        </w:rPr>
        <w:t>成交候选人</w:t>
      </w:r>
      <w:r>
        <w:rPr>
          <w:rFonts w:hint="eastAsia" w:ascii="宋体" w:hAnsi="宋体"/>
          <w:color w:val="auto"/>
          <w:sz w:val="21"/>
          <w:szCs w:val="21"/>
          <w:highlight w:val="none"/>
        </w:rPr>
        <w:t>资格；</w:t>
      </w:r>
    </w:p>
    <w:p w14:paraId="02347A9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9</w:t>
      </w:r>
      <w:r>
        <w:rPr>
          <w:rFonts w:hint="eastAsia" w:ascii="宋体" w:hAnsi="宋体"/>
          <w:color w:val="auto"/>
          <w:sz w:val="21"/>
          <w:szCs w:val="21"/>
          <w:highlight w:val="none"/>
        </w:rPr>
        <w:t>法定代表人（单位负责人）为同一个人的两个及两个以上法人，母公司、全资子公司及其控股公司，都不得在同一招标中同时投标。</w:t>
      </w:r>
    </w:p>
    <w:p w14:paraId="76E13767">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4.竞争性谈判文件的获取</w:t>
      </w:r>
    </w:p>
    <w:p w14:paraId="140B878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4.1凡符合资格要求的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，请于202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日，每日上午8时30分至11时30分，下午2时00分至5时00分(北京时间，下同)到云南国瑞咨询管理有限公司（昆明市东风西路99号新纪元广场11楼11号）报名，逾期不予受理。</w:t>
      </w:r>
    </w:p>
    <w:p w14:paraId="2A0160C5">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4.2竞争性</w:t>
      </w:r>
      <w:r>
        <w:rPr>
          <w:rFonts w:ascii="宋体" w:hAnsi="宋体"/>
          <w:color w:val="auto"/>
          <w:sz w:val="21"/>
          <w:szCs w:val="21"/>
          <w:highlight w:val="none"/>
        </w:rPr>
        <w:t>谈判</w:t>
      </w:r>
      <w:r>
        <w:rPr>
          <w:rFonts w:hint="eastAsia" w:ascii="宋体" w:hAnsi="宋体"/>
          <w:color w:val="auto"/>
          <w:sz w:val="21"/>
          <w:szCs w:val="21"/>
          <w:highlight w:val="none"/>
        </w:rPr>
        <w:t>文件每套售价为</w:t>
      </w:r>
      <w:r>
        <w:rPr>
          <w:rFonts w:ascii="宋体" w:hAnsi="宋体"/>
          <w:color w:val="auto"/>
          <w:sz w:val="21"/>
          <w:szCs w:val="21"/>
          <w:highlight w:val="none"/>
        </w:rPr>
        <w:t>1</w:t>
      </w:r>
      <w:r>
        <w:rPr>
          <w:rFonts w:hint="eastAsia" w:ascii="宋体" w:hAnsi="宋体"/>
          <w:color w:val="auto"/>
          <w:sz w:val="21"/>
          <w:szCs w:val="21"/>
          <w:highlight w:val="none"/>
        </w:rPr>
        <w:t>200元，售后不退。</w:t>
      </w:r>
    </w:p>
    <w:p w14:paraId="7DDC6CD5">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邮购竞争性</w:t>
      </w:r>
      <w:r>
        <w:rPr>
          <w:rFonts w:ascii="宋体" w:hAnsi="宋体"/>
          <w:color w:val="auto"/>
          <w:sz w:val="21"/>
          <w:szCs w:val="21"/>
          <w:highlight w:val="none"/>
        </w:rPr>
        <w:t>谈判</w:t>
      </w:r>
      <w:r>
        <w:rPr>
          <w:rFonts w:hint="eastAsia" w:ascii="宋体" w:hAnsi="宋体"/>
          <w:color w:val="auto"/>
          <w:sz w:val="21"/>
          <w:szCs w:val="21"/>
          <w:highlight w:val="none"/>
        </w:rPr>
        <w:t>文件的，代理机构在收到报名费后1日内寄送,邮费自理。</w:t>
      </w:r>
    </w:p>
    <w:p w14:paraId="2C19FA14">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单位账户信息如下：</w:t>
      </w:r>
    </w:p>
    <w:p w14:paraId="54E8B901">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收款单位：云南国瑞咨询管理有限公司</w:t>
      </w:r>
    </w:p>
    <w:p w14:paraId="3A89677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户    名：云南国瑞咨询管理有限公司</w:t>
      </w:r>
    </w:p>
    <w:p w14:paraId="00A6974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 户 行：工商银行昆明市南屏支行</w:t>
      </w:r>
    </w:p>
    <w:p w14:paraId="558C768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帐    号：2502011019221503739</w:t>
      </w:r>
    </w:p>
    <w:p w14:paraId="7C10E3DE">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汇款后，须在规定的获取竞争性</w:t>
      </w:r>
      <w:r>
        <w:rPr>
          <w:rFonts w:ascii="宋体" w:hAnsi="宋体"/>
          <w:color w:val="auto"/>
          <w:sz w:val="21"/>
          <w:szCs w:val="21"/>
          <w:highlight w:val="none"/>
        </w:rPr>
        <w:t>谈判</w:t>
      </w:r>
      <w:r>
        <w:rPr>
          <w:rFonts w:hint="eastAsia" w:ascii="宋体" w:hAnsi="宋体"/>
          <w:color w:val="auto"/>
          <w:sz w:val="21"/>
          <w:szCs w:val="21"/>
          <w:highlight w:val="none"/>
        </w:rPr>
        <w:t xml:space="preserve">文件的时间内，将报名资料及汇款凭证发送到招标代理机构邮箱474839305@qq.com内予以确认。  </w:t>
      </w:r>
    </w:p>
    <w:p w14:paraId="669898B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4.3报名时应提交的资料：</w:t>
      </w:r>
    </w:p>
    <w:p w14:paraId="609F650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①营业执照（复印件加盖公章）</w:t>
      </w:r>
    </w:p>
    <w:p w14:paraId="2708DAA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②法定代表人身份证明书（原件）</w:t>
      </w:r>
    </w:p>
    <w:p w14:paraId="2FE2B6B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③法定代表人授权委托书（原件）</w:t>
      </w:r>
    </w:p>
    <w:p w14:paraId="6CAB87E6">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5、</w:t>
      </w:r>
      <w:r>
        <w:rPr>
          <w:rFonts w:hint="eastAsia" w:ascii="宋体" w:hAnsi="宋体"/>
          <w:b/>
          <w:color w:val="auto"/>
          <w:sz w:val="21"/>
          <w:szCs w:val="21"/>
          <w:highlight w:val="none"/>
          <w:lang w:eastAsia="zh-CN"/>
        </w:rPr>
        <w:t>响应文件</w:t>
      </w:r>
      <w:r>
        <w:rPr>
          <w:rFonts w:hint="eastAsia" w:ascii="宋体" w:hAnsi="宋体"/>
          <w:b/>
          <w:color w:val="auto"/>
          <w:sz w:val="21"/>
          <w:szCs w:val="21"/>
          <w:highlight w:val="none"/>
        </w:rPr>
        <w:t>的递交</w:t>
      </w:r>
    </w:p>
    <w:p w14:paraId="76556711">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5.1</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递交截止时间：202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日13时30分[北京时间]；</w:t>
      </w:r>
    </w:p>
    <w:p w14:paraId="31E17C0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5.2</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递交地点：昆明市东风西路1号新纪元酒店公寓10楼1021号会议室（云南国瑞咨询管理有限公司），逾期或不符合要求的</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将被拒收；</w:t>
      </w:r>
    </w:p>
    <w:p w14:paraId="3F5E5EDF">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5.3开标时间：202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日13时30分[北京时间]；</w:t>
      </w:r>
    </w:p>
    <w:p w14:paraId="15422B7F">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5.4开标地点：昆明市东风西路1号新纪元酒店公寓10楼1021号会议室（云南国瑞咨询管理有限公司）；</w:t>
      </w:r>
    </w:p>
    <w:p w14:paraId="7A25FC1D">
      <w:pPr>
        <w:spacing w:line="360" w:lineRule="auto"/>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6、发布公告的</w:t>
      </w:r>
      <w:r>
        <w:rPr>
          <w:rFonts w:ascii="宋体" w:hAnsi="宋体"/>
          <w:b/>
          <w:color w:val="auto"/>
          <w:sz w:val="21"/>
          <w:szCs w:val="21"/>
          <w:highlight w:val="none"/>
        </w:rPr>
        <w:t>媒介</w:t>
      </w:r>
    </w:p>
    <w:p w14:paraId="3EBA806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本次公告在“昆明公交集团有限责任公司官方网站”(</w:t>
      </w:r>
      <w:r>
        <w:rPr>
          <w:rFonts w:ascii="宋体" w:hAnsi="宋体"/>
          <w:color w:val="auto"/>
          <w:sz w:val="21"/>
          <w:szCs w:val="21"/>
          <w:highlight w:val="none"/>
        </w:rPr>
        <w:fldChar w:fldCharType="begin"/>
      </w:r>
      <w:r>
        <w:rPr>
          <w:rFonts w:ascii="宋体" w:hAnsi="宋体"/>
          <w:color w:val="auto"/>
          <w:sz w:val="21"/>
          <w:szCs w:val="21"/>
          <w:highlight w:val="none"/>
        </w:rPr>
        <w:instrText xml:space="preserve"> HYPERLINK "</w:instrText>
      </w:r>
      <w:r>
        <w:rPr>
          <w:rFonts w:hint="eastAsia" w:ascii="宋体" w:hAnsi="宋体"/>
          <w:color w:val="auto"/>
          <w:sz w:val="21"/>
          <w:szCs w:val="21"/>
          <w:highlight w:val="none"/>
        </w:rPr>
        <w:instrText xml:space="preserve">http://www.kunmingbus.cn/</w:instrText>
      </w:r>
      <w:r>
        <w:rPr>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7"/>
          <w:rFonts w:hint="eastAsia" w:ascii="宋体" w:hAnsi="宋体"/>
          <w:color w:val="auto"/>
          <w:sz w:val="21"/>
          <w:szCs w:val="21"/>
          <w:highlight w:val="none"/>
        </w:rPr>
        <w:t>http://www.kunmingbus.cn/</w:t>
      </w:r>
      <w:r>
        <w:rPr>
          <w:rFonts w:ascii="宋体" w:hAnsi="宋体"/>
          <w:color w:val="auto"/>
          <w:sz w:val="21"/>
          <w:szCs w:val="21"/>
          <w:highlight w:val="none"/>
        </w:rPr>
        <w:fldChar w:fldCharType="end"/>
      </w:r>
      <w:r>
        <w:rPr>
          <w:rFonts w:hint="eastAsia" w:ascii="宋体" w:hAnsi="宋体"/>
          <w:color w:val="auto"/>
          <w:sz w:val="21"/>
          <w:szCs w:val="21"/>
          <w:highlight w:val="none"/>
        </w:rPr>
        <w:t>)、“中国招标投标公共服务平台”（http://www.cebpubservice.com/）上发布</w:t>
      </w:r>
      <w:r>
        <w:rPr>
          <w:rFonts w:ascii="宋体" w:hAnsi="宋体"/>
          <w:color w:val="auto"/>
          <w:sz w:val="21"/>
          <w:szCs w:val="21"/>
          <w:highlight w:val="none"/>
        </w:rPr>
        <w:t>，我公司对其他网站或媒体转载的公告及公告内容不承担任何责任及不作任何解释。</w:t>
      </w:r>
    </w:p>
    <w:p w14:paraId="3DDF50A5">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7、联系方式</w:t>
      </w:r>
    </w:p>
    <w:tbl>
      <w:tblPr>
        <w:tblStyle w:val="4"/>
        <w:tblW w:w="10094" w:type="dxa"/>
        <w:tblInd w:w="0" w:type="dxa"/>
        <w:tblLayout w:type="fixed"/>
        <w:tblCellMar>
          <w:top w:w="0" w:type="dxa"/>
          <w:left w:w="108" w:type="dxa"/>
          <w:bottom w:w="0" w:type="dxa"/>
          <w:right w:w="108" w:type="dxa"/>
        </w:tblCellMar>
      </w:tblPr>
      <w:tblGrid>
        <w:gridCol w:w="5047"/>
        <w:gridCol w:w="5047"/>
      </w:tblGrid>
      <w:tr w14:paraId="0D9E41D4">
        <w:tblPrEx>
          <w:tblCellMar>
            <w:top w:w="0" w:type="dxa"/>
            <w:left w:w="108" w:type="dxa"/>
            <w:bottom w:w="0" w:type="dxa"/>
            <w:right w:w="108" w:type="dxa"/>
          </w:tblCellMar>
        </w:tblPrEx>
        <w:trPr>
          <w:trHeight w:val="383" w:hRule="atLeast"/>
        </w:trPr>
        <w:tc>
          <w:tcPr>
            <w:tcW w:w="5047" w:type="dxa"/>
            <w:noWrap w:val="0"/>
            <w:vAlign w:val="center"/>
          </w:tcPr>
          <w:p w14:paraId="2459189C">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：昆明公交集团有限责任公司</w:t>
            </w:r>
          </w:p>
        </w:tc>
        <w:tc>
          <w:tcPr>
            <w:tcW w:w="5047" w:type="dxa"/>
            <w:noWrap w:val="0"/>
            <w:vAlign w:val="center"/>
          </w:tcPr>
          <w:p w14:paraId="5C32E782">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采购</w:t>
            </w:r>
            <w:r>
              <w:rPr>
                <w:rFonts w:hint="eastAsia" w:ascii="宋体" w:hAnsi="宋体"/>
                <w:color w:val="auto"/>
                <w:sz w:val="21"/>
                <w:szCs w:val="21"/>
                <w:highlight w:val="none"/>
              </w:rPr>
              <w:t>代理机构：云南国瑞咨询管理有限公司</w:t>
            </w:r>
          </w:p>
        </w:tc>
      </w:tr>
      <w:tr w14:paraId="3E37907E">
        <w:tblPrEx>
          <w:tblCellMar>
            <w:top w:w="0" w:type="dxa"/>
            <w:left w:w="108" w:type="dxa"/>
            <w:bottom w:w="0" w:type="dxa"/>
            <w:right w:w="108" w:type="dxa"/>
          </w:tblCellMar>
        </w:tblPrEx>
        <w:trPr>
          <w:trHeight w:val="383" w:hRule="atLeast"/>
        </w:trPr>
        <w:tc>
          <w:tcPr>
            <w:tcW w:w="5047" w:type="dxa"/>
            <w:noWrap w:val="0"/>
            <w:vAlign w:val="center"/>
          </w:tcPr>
          <w:p w14:paraId="4C29A7F4">
            <w:pPr>
              <w:spacing w:line="360" w:lineRule="auto"/>
              <w:ind w:left="840" w:hanging="840" w:hangingChars="400"/>
              <w:rPr>
                <w:rFonts w:hint="eastAsia" w:ascii="宋体" w:hAnsi="宋体"/>
                <w:color w:val="auto"/>
                <w:sz w:val="21"/>
                <w:szCs w:val="21"/>
                <w:highlight w:val="none"/>
              </w:rPr>
            </w:pPr>
            <w:r>
              <w:rPr>
                <w:rFonts w:hint="eastAsia" w:ascii="宋体" w:hAnsi="宋体"/>
                <w:color w:val="auto"/>
                <w:sz w:val="21"/>
                <w:szCs w:val="21"/>
                <w:highlight w:val="none"/>
              </w:rPr>
              <w:t>地  址：昆明市霖雨路146号</w:t>
            </w:r>
          </w:p>
        </w:tc>
        <w:tc>
          <w:tcPr>
            <w:tcW w:w="5047" w:type="dxa"/>
            <w:noWrap w:val="0"/>
            <w:vAlign w:val="center"/>
          </w:tcPr>
          <w:p w14:paraId="22138C40">
            <w:pPr>
              <w:spacing w:line="360" w:lineRule="auto"/>
              <w:ind w:left="1050" w:leftChars="210" w:hanging="630" w:hangingChars="300"/>
              <w:rPr>
                <w:rFonts w:hint="eastAsia" w:ascii="宋体" w:hAnsi="宋体"/>
                <w:color w:val="auto"/>
                <w:sz w:val="21"/>
                <w:szCs w:val="21"/>
                <w:highlight w:val="none"/>
              </w:rPr>
            </w:pPr>
            <w:r>
              <w:rPr>
                <w:rFonts w:hint="eastAsia" w:ascii="宋体" w:hAnsi="宋体"/>
                <w:color w:val="auto"/>
                <w:sz w:val="21"/>
                <w:szCs w:val="21"/>
                <w:highlight w:val="none"/>
              </w:rPr>
              <w:t>地 址：昆明市东风西路99号新纪元广场11楼11号</w:t>
            </w:r>
          </w:p>
        </w:tc>
      </w:tr>
      <w:tr w14:paraId="512B7B93">
        <w:tblPrEx>
          <w:tblCellMar>
            <w:top w:w="0" w:type="dxa"/>
            <w:left w:w="108" w:type="dxa"/>
            <w:bottom w:w="0" w:type="dxa"/>
            <w:right w:w="108" w:type="dxa"/>
          </w:tblCellMar>
        </w:tblPrEx>
        <w:trPr>
          <w:trHeight w:val="383" w:hRule="atLeast"/>
        </w:trPr>
        <w:tc>
          <w:tcPr>
            <w:tcW w:w="5047" w:type="dxa"/>
            <w:noWrap w:val="0"/>
            <w:vAlign w:val="center"/>
          </w:tcPr>
          <w:p w14:paraId="1DADCBAA">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color w:val="auto"/>
                <w:sz w:val="21"/>
                <w:szCs w:val="21"/>
                <w:highlight w:val="none"/>
                <w:lang w:eastAsia="zh-CN"/>
              </w:rPr>
              <w:t>杨云秋</w:t>
            </w:r>
            <w:r>
              <w:rPr>
                <w:rFonts w:hint="eastAsia" w:ascii="宋体" w:hAnsi="宋体"/>
                <w:color w:val="auto"/>
                <w:sz w:val="21"/>
                <w:szCs w:val="21"/>
                <w:highlight w:val="none"/>
              </w:rPr>
              <w:t xml:space="preserve">   </w:t>
            </w:r>
          </w:p>
        </w:tc>
        <w:tc>
          <w:tcPr>
            <w:tcW w:w="5047" w:type="dxa"/>
            <w:noWrap w:val="0"/>
            <w:vAlign w:val="center"/>
          </w:tcPr>
          <w:p w14:paraId="07153B9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 系 人：  鲁敏</w:t>
            </w:r>
          </w:p>
        </w:tc>
      </w:tr>
      <w:tr w14:paraId="74DAB90B">
        <w:tblPrEx>
          <w:tblCellMar>
            <w:top w:w="0" w:type="dxa"/>
            <w:left w:w="108" w:type="dxa"/>
            <w:bottom w:w="0" w:type="dxa"/>
            <w:right w:w="108" w:type="dxa"/>
          </w:tblCellMar>
        </w:tblPrEx>
        <w:trPr>
          <w:trHeight w:val="383" w:hRule="atLeast"/>
        </w:trPr>
        <w:tc>
          <w:tcPr>
            <w:tcW w:w="5047" w:type="dxa"/>
            <w:noWrap w:val="0"/>
            <w:vAlign w:val="center"/>
          </w:tcPr>
          <w:p w14:paraId="29E39826">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    话：0871-65812905</w:t>
            </w:r>
          </w:p>
        </w:tc>
        <w:tc>
          <w:tcPr>
            <w:tcW w:w="5047" w:type="dxa"/>
            <w:noWrap w:val="0"/>
            <w:vAlign w:val="center"/>
          </w:tcPr>
          <w:p w14:paraId="5B3E462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电    话：</w:t>
            </w:r>
            <w:r>
              <w:rPr>
                <w:rFonts w:ascii="宋体" w:hAnsi="宋体"/>
                <w:color w:val="auto"/>
                <w:sz w:val="21"/>
                <w:szCs w:val="21"/>
                <w:highlight w:val="none"/>
              </w:rPr>
              <w:t xml:space="preserve">0871-63635661 </w:t>
            </w:r>
          </w:p>
        </w:tc>
      </w:tr>
    </w:tbl>
    <w:p w14:paraId="5D195F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71C3A"/>
    <w:rsid w:val="44C7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character" w:styleId="6">
    <w:name w:val="page number"/>
    <w:qFormat/>
    <w:uiPriority w:val="0"/>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2024-12-12T07:46:00Z</dcterms:created>
  <dc:creator>糖糖敏</dc:creator>
  <cp:lastModifiedBy>糖糖敏</cp:lastModifiedBy>
  <dcterms:modified xsi:type="dcterms:W3CDTF">2024-12-12T07:47:17Z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082CD58E0971428C8A3EFF0827913873_11</vt:lpwstr>
  </property>
</Properties>
</file>