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FC" w:rsidRPr="0021257D" w:rsidRDefault="0021257D" w:rsidP="0021257D">
      <w:pPr>
        <w:spacing w:line="360" w:lineRule="auto"/>
        <w:jc w:val="center"/>
        <w:rPr>
          <w:rFonts w:hint="eastAsia"/>
          <w:sz w:val="32"/>
          <w:szCs w:val="32"/>
          <w:lang w:val="en-US"/>
        </w:rPr>
      </w:pPr>
      <w:bookmarkStart w:id="0" w:name="_GoBack"/>
      <w:r w:rsidRPr="0021257D">
        <w:rPr>
          <w:rFonts w:hint="eastAsia"/>
          <w:sz w:val="32"/>
          <w:szCs w:val="32"/>
          <w:lang w:val="en-US" w:eastAsia="zh-CN"/>
        </w:rPr>
        <w:t>昆明公交集团有限责任公司中卫公交停车场综合开发项目社会投资人招标公告</w:t>
      </w:r>
    </w:p>
    <w:bookmarkEnd w:id="0"/>
    <w:p w:rsidR="0021257D" w:rsidRPr="00D22635" w:rsidRDefault="0021257D" w:rsidP="0021257D">
      <w:pPr>
        <w:pStyle w:val="2"/>
        <w:numPr>
          <w:ilvl w:val="0"/>
          <w:numId w:val="1"/>
        </w:numPr>
        <w:spacing w:line="400" w:lineRule="exact"/>
        <w:ind w:left="480" w:hangingChars="200" w:hanging="480"/>
        <w:rPr>
          <w:rFonts w:ascii="黑体" w:hAnsi="黑体" w:cs="宋体"/>
          <w:b w:val="0"/>
          <w:sz w:val="24"/>
          <w:szCs w:val="24"/>
        </w:rPr>
      </w:pPr>
      <w:r w:rsidRPr="00D22635">
        <w:rPr>
          <w:rFonts w:ascii="黑体" w:hAnsi="黑体" w:cs="宋体" w:hint="eastAsia"/>
          <w:b w:val="0"/>
          <w:sz w:val="24"/>
          <w:szCs w:val="24"/>
        </w:rPr>
        <w:t>招标条件</w:t>
      </w:r>
    </w:p>
    <w:p w:rsidR="0021257D" w:rsidRPr="00D22635" w:rsidRDefault="0021257D" w:rsidP="0021257D">
      <w:pPr>
        <w:spacing w:line="360" w:lineRule="auto"/>
        <w:ind w:firstLineChars="202" w:firstLine="485"/>
        <w:rPr>
          <w:rFonts w:ascii="宋体" w:hAnsi="宋体"/>
          <w:sz w:val="24"/>
          <w:szCs w:val="24"/>
        </w:rPr>
      </w:pPr>
      <w:r w:rsidRPr="00D22635">
        <w:rPr>
          <w:rFonts w:ascii="宋体" w:hAnsi="宋体" w:hint="eastAsia"/>
          <w:sz w:val="24"/>
          <w:szCs w:val="24"/>
        </w:rPr>
        <w:t>昆明公交集团有限责任公司中卫公交停车场综合开发项目社会投资人招标项目,已完成可行性研究报告编制，拟招募社会资本合作模式建设、运营，招标人为昆明公交集团有限责任公司，招标代理单位为云南国瑞咨询管理有限公司</w:t>
      </w:r>
      <w:r w:rsidRPr="00D22635">
        <w:rPr>
          <w:rFonts w:ascii="宋体" w:hAnsi="宋体" w:hint="eastAsia"/>
          <w:sz w:val="24"/>
          <w:szCs w:val="24"/>
          <w:u w:val="single"/>
        </w:rPr>
        <w:fldChar w:fldCharType="begin"/>
      </w:r>
      <w:r w:rsidRPr="00D22635">
        <w:rPr>
          <w:rFonts w:ascii="宋体" w:hAnsi="宋体" w:hint="eastAsia"/>
          <w:sz w:val="24"/>
          <w:szCs w:val="24"/>
          <w:u w:val="single"/>
        </w:rPr>
        <w:instrText xml:space="preserve"> AUTOTEXT  input15 \* MERGEFORMAT </w:instrText>
      </w:r>
      <w:r w:rsidRPr="00D22635">
        <w:rPr>
          <w:rFonts w:ascii="宋体" w:hAnsi="宋体" w:hint="eastAsia"/>
          <w:sz w:val="24"/>
          <w:szCs w:val="24"/>
          <w:u w:val="single"/>
        </w:rPr>
        <w:fldChar w:fldCharType="separate"/>
      </w:r>
      <w:r w:rsidRPr="00D22635">
        <w:rPr>
          <w:rFonts w:ascii="宋体" w:hAnsi="宋体" w:hint="eastAsia"/>
          <w:sz w:val="24"/>
          <w:szCs w:val="24"/>
          <w:u w:val="single"/>
        </w:rPr>
        <w:fldChar w:fldCharType="end"/>
      </w:r>
      <w:r w:rsidRPr="00D22635">
        <w:rPr>
          <w:rFonts w:ascii="宋体" w:hAnsi="宋体" w:hint="eastAsia"/>
          <w:sz w:val="24"/>
          <w:szCs w:val="24"/>
          <w:u w:val="single"/>
        </w:rPr>
        <w:fldChar w:fldCharType="begin"/>
      </w:r>
      <w:r w:rsidRPr="00D22635">
        <w:rPr>
          <w:rFonts w:ascii="宋体" w:hAnsi="宋体" w:hint="eastAsia"/>
          <w:sz w:val="24"/>
          <w:szCs w:val="24"/>
          <w:u w:val="single"/>
        </w:rPr>
        <w:instrText xml:space="preserve"> AUTOTEXT  input16 \* MERGEFORMAT </w:instrText>
      </w:r>
      <w:r w:rsidRPr="00D22635">
        <w:rPr>
          <w:rFonts w:ascii="宋体" w:hAnsi="宋体" w:hint="eastAsia"/>
          <w:sz w:val="24"/>
          <w:szCs w:val="24"/>
          <w:u w:val="single"/>
        </w:rPr>
        <w:fldChar w:fldCharType="separate"/>
      </w:r>
      <w:r w:rsidRPr="00D22635">
        <w:rPr>
          <w:rFonts w:ascii="宋体" w:hAnsi="宋体" w:hint="eastAsia"/>
          <w:sz w:val="24"/>
          <w:szCs w:val="24"/>
          <w:u w:val="single"/>
        </w:rPr>
        <w:fldChar w:fldCharType="end"/>
      </w:r>
      <w:r w:rsidRPr="00D22635">
        <w:rPr>
          <w:rFonts w:ascii="宋体" w:hAnsi="宋体" w:hint="eastAsia"/>
          <w:sz w:val="24"/>
          <w:szCs w:val="24"/>
        </w:rPr>
        <w:t>。项目已具备招标条件，现本项目对社会投资</w:t>
      </w:r>
      <w:r w:rsidRPr="00D22635">
        <w:rPr>
          <w:rFonts w:ascii="宋体" w:hAnsi="宋体"/>
          <w:sz w:val="24"/>
          <w:szCs w:val="24"/>
        </w:rPr>
        <w:t>人</w:t>
      </w:r>
      <w:r w:rsidRPr="00D22635">
        <w:rPr>
          <w:rFonts w:ascii="宋体" w:hAnsi="宋体" w:hint="eastAsia"/>
          <w:sz w:val="24"/>
          <w:szCs w:val="24"/>
        </w:rPr>
        <w:t>进行公开招标。</w:t>
      </w:r>
    </w:p>
    <w:p w:rsidR="0021257D" w:rsidRPr="00D22635" w:rsidRDefault="0021257D" w:rsidP="0021257D">
      <w:pPr>
        <w:pStyle w:val="2"/>
        <w:numPr>
          <w:ilvl w:val="0"/>
          <w:numId w:val="1"/>
        </w:numPr>
        <w:spacing w:line="400" w:lineRule="exact"/>
        <w:ind w:left="480" w:hangingChars="200" w:hanging="480"/>
        <w:rPr>
          <w:rFonts w:ascii="黑体" w:hAnsi="黑体" w:cs="宋体"/>
          <w:b w:val="0"/>
          <w:sz w:val="24"/>
          <w:szCs w:val="24"/>
        </w:rPr>
      </w:pPr>
      <w:r w:rsidRPr="00D22635">
        <w:rPr>
          <w:rFonts w:ascii="黑体" w:hAnsi="黑体" w:cs="宋体" w:hint="eastAsia"/>
          <w:b w:val="0"/>
          <w:sz w:val="24"/>
          <w:szCs w:val="24"/>
        </w:rPr>
        <w:t>项目概况与招标范围</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2.1项目概况: 由社会投资人及招标人共同确定建设要求及建设标准对本项目进行规划建设，社会投资人负责全部资金的投入，采用投资—运营—返还的合作模式，项目建成后招标人将拥有项目建成后公交功能全</w:t>
      </w:r>
      <w:r w:rsidRPr="00D22635">
        <w:rPr>
          <w:rFonts w:ascii="宋体" w:hAnsi="宋体"/>
          <w:sz w:val="24"/>
          <w:szCs w:val="24"/>
        </w:rPr>
        <w:t>部</w:t>
      </w:r>
      <w:r w:rsidRPr="00D22635">
        <w:rPr>
          <w:rFonts w:ascii="宋体" w:hAnsi="宋体" w:hint="eastAsia"/>
          <w:sz w:val="24"/>
          <w:szCs w:val="24"/>
        </w:rPr>
        <w:t>的使用权，社会投资人可拥有除公交功能之外部</w:t>
      </w:r>
      <w:r w:rsidRPr="00D22635">
        <w:rPr>
          <w:rFonts w:ascii="宋体" w:hAnsi="宋体"/>
          <w:sz w:val="24"/>
          <w:szCs w:val="24"/>
        </w:rPr>
        <w:t>份</w:t>
      </w:r>
      <w:r w:rsidRPr="00D22635">
        <w:rPr>
          <w:rFonts w:ascii="宋体" w:hAnsi="宋体" w:hint="eastAsia"/>
          <w:sz w:val="24"/>
          <w:szCs w:val="24"/>
        </w:rPr>
        <w:t>剩余面积的运营权。</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土地面积：宗地总面积为 28480.28 平方米（最终以国土部门审批为准）。</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建设内容：建设内容总体分为自用部分（即公交功能部分）和运营部分，自用部分为公交办公楼（包含业务用房、会议室、驾驶员休息室、餐厅、办公室等内容）及公交停车坪，占地面积约为 10 亩；运营部分占地面积约为32.7 亩（最终以规划部门审批为准）。</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2.2招标范围及合作模式：</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2.2.1招标范围: 由社会投资人及招标人共同确定建设要求及建设标准对本项目进行规划建设，社会投资人负责全部资金的投入（含招标人需要向土地管理部门缴纳的土地划拨费，</w:t>
      </w:r>
      <w:proofErr w:type="gramStart"/>
      <w:r w:rsidRPr="00D22635">
        <w:rPr>
          <w:rFonts w:ascii="宋体" w:hAnsi="宋体" w:hint="eastAsia"/>
          <w:sz w:val="24"/>
          <w:szCs w:val="24"/>
        </w:rPr>
        <w:t>暂估金额</w:t>
      </w:r>
      <w:proofErr w:type="gramEnd"/>
      <w:r w:rsidRPr="00D22635">
        <w:rPr>
          <w:rFonts w:ascii="宋体" w:hAnsi="宋体" w:hint="eastAsia"/>
          <w:sz w:val="24"/>
          <w:szCs w:val="24"/>
        </w:rPr>
        <w:t>人民币</w:t>
      </w:r>
      <w:r w:rsidRPr="00D22635">
        <w:rPr>
          <w:rFonts w:ascii="宋体" w:hAnsi="宋体"/>
          <w:sz w:val="24"/>
          <w:szCs w:val="24"/>
        </w:rPr>
        <w:t>：</w:t>
      </w:r>
      <w:r w:rsidRPr="00D22635">
        <w:rPr>
          <w:rFonts w:ascii="宋体" w:hAnsi="宋体" w:hint="eastAsia"/>
          <w:sz w:val="24"/>
          <w:szCs w:val="24"/>
        </w:rPr>
        <w:t>24,672,720.00 元，最终以土地部门通知为准），采用投资—运营—返还的合作模式，项目建成后招标人将拥有项目建成后的全部产权（含全部房产）以及项目建成后公交功能全部面积的使用权，社会投资人将拥有除公交功能之外剩余部</w:t>
      </w:r>
      <w:proofErr w:type="gramStart"/>
      <w:r w:rsidRPr="00D22635">
        <w:rPr>
          <w:rFonts w:ascii="宋体" w:hAnsi="宋体"/>
          <w:sz w:val="24"/>
          <w:szCs w:val="24"/>
        </w:rPr>
        <w:t>份</w:t>
      </w:r>
      <w:r w:rsidRPr="00D22635">
        <w:rPr>
          <w:rFonts w:ascii="宋体" w:hAnsi="宋体" w:hint="eastAsia"/>
          <w:sz w:val="24"/>
          <w:szCs w:val="24"/>
        </w:rPr>
        <w:t>面积</w:t>
      </w:r>
      <w:proofErr w:type="gramEnd"/>
      <w:r w:rsidRPr="00D22635">
        <w:rPr>
          <w:rFonts w:ascii="宋体" w:hAnsi="宋体" w:hint="eastAsia"/>
          <w:sz w:val="24"/>
          <w:szCs w:val="24"/>
        </w:rPr>
        <w:t>的运营权，社会</w:t>
      </w:r>
      <w:r w:rsidRPr="00D22635">
        <w:rPr>
          <w:rFonts w:ascii="宋体" w:hAnsi="宋体"/>
          <w:sz w:val="24"/>
          <w:szCs w:val="24"/>
        </w:rPr>
        <w:t>投资人</w:t>
      </w:r>
      <w:r w:rsidRPr="00D22635">
        <w:rPr>
          <w:rFonts w:ascii="宋体" w:hAnsi="宋体" w:hint="eastAsia"/>
          <w:sz w:val="24"/>
          <w:szCs w:val="24"/>
        </w:rPr>
        <w:t>在运营期内进行运营工作，运营期满后无偿移交招标人。</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2.2.2建设工期：两年（最终根据项目实际情况的工期为准）。</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2.2.3项目运营期：建成正式运营之日起不超过20年（含20年，最终由社</w:t>
      </w:r>
      <w:r w:rsidRPr="00D22635">
        <w:rPr>
          <w:rFonts w:ascii="宋体" w:hAnsi="宋体" w:hint="eastAsia"/>
          <w:sz w:val="24"/>
          <w:szCs w:val="24"/>
        </w:rPr>
        <w:lastRenderedPageBreak/>
        <w:t>会投资人及招标人共同委托的第三方机构根据中标人实际投资金额测算为准）。</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2.2.4合作模式：</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（1）社会投资人将按照双方确定的</w:t>
      </w:r>
      <w:proofErr w:type="gramStart"/>
      <w:r w:rsidRPr="00D22635">
        <w:rPr>
          <w:rFonts w:ascii="宋体" w:hAnsi="宋体" w:hint="eastAsia"/>
          <w:sz w:val="24"/>
          <w:szCs w:val="24"/>
        </w:rPr>
        <w:t>的</w:t>
      </w:r>
      <w:proofErr w:type="gramEnd"/>
      <w:r w:rsidRPr="00D22635">
        <w:rPr>
          <w:rFonts w:ascii="宋体" w:hAnsi="宋体" w:hint="eastAsia"/>
          <w:sz w:val="24"/>
          <w:szCs w:val="24"/>
        </w:rPr>
        <w:t>建设要求及建设标准进行投资，项目建成后招标人将享有项目建成后的全部产权（含全部房产）以及项目建成后公交功能全部面积的使用权，社会投资人将拥有除公交功能之外剩余面积的运营权。</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（2）上述项目建设资金全部由社会投资人自行负责筹集，招标人对社会投资人不提供借款、不提供担保，也不对合作开发者进行补亏，同时投资人在经营期限内，每年须向招标人支付一定的固定运</w:t>
      </w:r>
      <w:r w:rsidRPr="00D22635">
        <w:rPr>
          <w:rFonts w:ascii="宋体" w:hAnsi="宋体"/>
          <w:sz w:val="24"/>
          <w:szCs w:val="24"/>
        </w:rPr>
        <w:t>营</w:t>
      </w:r>
      <w:r w:rsidRPr="00D22635">
        <w:rPr>
          <w:rFonts w:ascii="宋体" w:hAnsi="宋体" w:hint="eastAsia"/>
          <w:sz w:val="24"/>
          <w:szCs w:val="24"/>
        </w:rPr>
        <w:t>收益。</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3）在项目建设期结束后，因上述项目所有权（即产权）始终属于招标人，因此招标人主导并参与项目建设及竣工验收工作，项目建设完成后（取得项目产权证）除公交功能部分外，剩余可运营部分移交社会投资人，社会投资人可获得经营权。</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（4）若因投标人原因导致项目未能按期完工，超过约定建设期后，运营期按约定开始起算，社会投资人</w:t>
      </w:r>
      <w:proofErr w:type="gramStart"/>
      <w:r w:rsidRPr="00D22635">
        <w:rPr>
          <w:rFonts w:ascii="宋体" w:hAnsi="宋体" w:hint="eastAsia"/>
          <w:sz w:val="24"/>
          <w:szCs w:val="24"/>
        </w:rPr>
        <w:t>需正常</w:t>
      </w:r>
      <w:proofErr w:type="gramEnd"/>
      <w:r w:rsidRPr="00D22635">
        <w:rPr>
          <w:rFonts w:ascii="宋体" w:hAnsi="宋体" w:hint="eastAsia"/>
          <w:sz w:val="24"/>
          <w:szCs w:val="24"/>
        </w:rPr>
        <w:t>向招标人支付固定收益。</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（5）在项目经营期结束后，社会投资人将项目所包含的不动产部分无偿返还招标人，招标人无偿获得经营权。</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社会投资人对项目土地划拨费、全部建设资金筹措、后续运营管理、债务偿还和资产管理、</w:t>
      </w:r>
      <w:proofErr w:type="gramStart"/>
      <w:r w:rsidRPr="00D22635">
        <w:rPr>
          <w:rFonts w:ascii="宋体" w:hAnsi="宋体" w:hint="eastAsia"/>
          <w:sz w:val="24"/>
          <w:szCs w:val="24"/>
        </w:rPr>
        <w:t>年固定</w:t>
      </w:r>
      <w:proofErr w:type="gramEnd"/>
      <w:r w:rsidRPr="00D22635">
        <w:rPr>
          <w:rFonts w:ascii="宋体" w:hAnsi="宋体" w:hint="eastAsia"/>
          <w:sz w:val="24"/>
          <w:szCs w:val="24"/>
        </w:rPr>
        <w:t>收益费等全过程负责，自主经营，自负盈亏,并在约定的经营期满后，按约定将所有设施、土地使用权、相关资料等无偿返还招标人。上述具体内容详见招标文件项目要求。</w:t>
      </w:r>
    </w:p>
    <w:p w:rsidR="0021257D" w:rsidRPr="00D22635" w:rsidRDefault="0021257D" w:rsidP="0021257D">
      <w:pPr>
        <w:spacing w:line="360" w:lineRule="auto"/>
        <w:ind w:firstLineChars="200" w:firstLine="480"/>
        <w:rPr>
          <w:rFonts w:ascii="宋体" w:hAnsi="宋体"/>
          <w:sz w:val="24"/>
          <w:szCs w:val="24"/>
        </w:rPr>
      </w:pPr>
      <w:r w:rsidRPr="00D22635">
        <w:rPr>
          <w:rFonts w:ascii="宋体" w:hAnsi="宋体" w:hint="eastAsia"/>
          <w:sz w:val="24"/>
          <w:szCs w:val="24"/>
        </w:rPr>
        <w:t>2.3 总投资：约3,806.47万元，最终以实际投资金额为准</w:t>
      </w:r>
      <w:r w:rsidRPr="00D22635">
        <w:rPr>
          <w:rFonts w:ascii="宋体" w:hAnsi="宋体" w:hint="eastAsia"/>
          <w:sz w:val="24"/>
          <w:szCs w:val="24"/>
        </w:rPr>
        <w:br/>
        <w:t>  2.4 资金来源：社会投资人全部投资</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2.5 项目地点：昆明市呈贡区马金铺街道（昆明新城高新技术产业基地）</w:t>
      </w:r>
    </w:p>
    <w:p w:rsidR="0021257D" w:rsidRPr="00D22635" w:rsidRDefault="0021257D" w:rsidP="0021257D">
      <w:pPr>
        <w:spacing w:line="360" w:lineRule="auto"/>
        <w:ind w:firstLineChars="200" w:firstLine="480"/>
        <w:rPr>
          <w:rFonts w:ascii="宋体" w:hAnsi="宋体"/>
          <w:sz w:val="24"/>
          <w:szCs w:val="24"/>
        </w:rPr>
      </w:pPr>
      <w:r w:rsidRPr="00D22635">
        <w:rPr>
          <w:rFonts w:ascii="宋体" w:hAnsi="宋体" w:hint="eastAsia"/>
          <w:sz w:val="24"/>
          <w:szCs w:val="24"/>
        </w:rPr>
        <w:t>2.6本项目不接受联合体投标</w:t>
      </w:r>
    </w:p>
    <w:p w:rsidR="0021257D" w:rsidRPr="00D22635" w:rsidRDefault="0021257D" w:rsidP="0021257D">
      <w:pPr>
        <w:pStyle w:val="2"/>
        <w:numPr>
          <w:ilvl w:val="0"/>
          <w:numId w:val="1"/>
        </w:numPr>
        <w:spacing w:line="400" w:lineRule="exact"/>
        <w:ind w:left="480" w:hangingChars="200" w:hanging="480"/>
        <w:rPr>
          <w:rFonts w:ascii="黑体" w:hAnsi="黑体" w:cs="宋体"/>
          <w:b w:val="0"/>
          <w:sz w:val="24"/>
          <w:szCs w:val="24"/>
        </w:rPr>
      </w:pPr>
      <w:r w:rsidRPr="00D22635">
        <w:rPr>
          <w:rFonts w:ascii="黑体" w:hAnsi="黑体" w:cs="宋体" w:hint="eastAsia"/>
          <w:b w:val="0"/>
          <w:sz w:val="24"/>
          <w:szCs w:val="24"/>
        </w:rPr>
        <w:t>投标人资格要求</w:t>
      </w:r>
    </w:p>
    <w:p w:rsidR="0021257D" w:rsidRPr="00D22635" w:rsidRDefault="0021257D" w:rsidP="0021257D">
      <w:pPr>
        <w:pStyle w:val="p14"/>
        <w:spacing w:line="360" w:lineRule="auto"/>
        <w:ind w:firstLineChars="200" w:firstLine="480"/>
        <w:rPr>
          <w:rFonts w:hint="eastAsia"/>
          <w:sz w:val="24"/>
          <w:szCs w:val="24"/>
        </w:rPr>
      </w:pPr>
      <w:r w:rsidRPr="00D22635">
        <w:rPr>
          <w:rFonts w:hint="eastAsia"/>
          <w:sz w:val="24"/>
          <w:szCs w:val="24"/>
        </w:rPr>
        <w:t>3.1第一中标候选人的行贿犯罪档案信息查询，招标人（招标代理公司）可以通过“中国裁判文书网”查询相关信息。若经招标人（招标代理公司）查询存在行贿犯罪情形的，取消其中标候选人资格。</w:t>
      </w:r>
    </w:p>
    <w:p w:rsidR="0021257D" w:rsidRPr="00D22635" w:rsidRDefault="0021257D" w:rsidP="0021257D">
      <w:pPr>
        <w:pStyle w:val="p14"/>
        <w:spacing w:line="360" w:lineRule="auto"/>
        <w:ind w:firstLineChars="200" w:firstLine="480"/>
        <w:rPr>
          <w:rFonts w:hint="eastAsia"/>
          <w:sz w:val="24"/>
          <w:szCs w:val="24"/>
        </w:rPr>
      </w:pPr>
      <w:r w:rsidRPr="00D22635">
        <w:rPr>
          <w:rFonts w:hint="eastAsia"/>
          <w:sz w:val="24"/>
          <w:szCs w:val="24"/>
        </w:rPr>
        <w:lastRenderedPageBreak/>
        <w:t>3.2本项目对失信被执行人，按照《关于在招标投标活动中对失信被执行人实施联合惩戒的通知》（法【2016】285号）执行。由投标人通过“信用中国”网站（ www.creditchina.gov.cn）查询未列入重大税收违法失信主体、未列入政府采购严重违法失信行为记录名单查询结果网页截图。不得为“中国政府采购网”政府采购严重违法失信行为记录名单中被财政部门禁止参加政府采购活动的供应商（处罚决定规定的时间和地域范围内）查询结果网页截图。</w:t>
      </w:r>
    </w:p>
    <w:p w:rsidR="0021257D" w:rsidRPr="00D22635" w:rsidRDefault="0021257D" w:rsidP="0021257D">
      <w:pPr>
        <w:pStyle w:val="p14"/>
        <w:spacing w:line="360" w:lineRule="auto"/>
        <w:ind w:firstLineChars="200" w:firstLine="480"/>
        <w:rPr>
          <w:rFonts w:hint="eastAsia"/>
          <w:sz w:val="24"/>
          <w:szCs w:val="24"/>
        </w:rPr>
      </w:pPr>
      <w:r w:rsidRPr="00D22635">
        <w:rPr>
          <w:rFonts w:hint="eastAsia"/>
          <w:sz w:val="24"/>
          <w:szCs w:val="24"/>
        </w:rPr>
        <w:t>http://zxgk.court.gov.cn/shixin/查询失信被执行人，对被列入失信被执行人的投标人处理方法和评标标准：由招标代理机构在开标后统一查询提交至评委会的查询结果为准，对严重失信主体按照《昆明市严重失信主体公共资源交易领域惩戒实施细则》（昆政</w:t>
      </w:r>
      <w:proofErr w:type="gramStart"/>
      <w:r w:rsidRPr="00D22635">
        <w:rPr>
          <w:rFonts w:hint="eastAsia"/>
          <w:sz w:val="24"/>
          <w:szCs w:val="24"/>
        </w:rPr>
        <w:t>规</w:t>
      </w:r>
      <w:proofErr w:type="gramEnd"/>
      <w:r w:rsidRPr="00D22635">
        <w:rPr>
          <w:rFonts w:hint="eastAsia"/>
          <w:sz w:val="24"/>
          <w:szCs w:val="24"/>
        </w:rPr>
        <w:t>【2019】2号）执行标准，扣减最终得分。</w:t>
      </w:r>
    </w:p>
    <w:p w:rsidR="0021257D" w:rsidRPr="00D22635" w:rsidRDefault="0021257D" w:rsidP="0021257D">
      <w:pPr>
        <w:pStyle w:val="p14"/>
        <w:spacing w:line="360" w:lineRule="auto"/>
        <w:ind w:firstLineChars="200" w:firstLine="480"/>
        <w:rPr>
          <w:rFonts w:hint="eastAsia"/>
          <w:sz w:val="24"/>
          <w:szCs w:val="24"/>
        </w:rPr>
      </w:pPr>
      <w:r w:rsidRPr="00D22635">
        <w:rPr>
          <w:rFonts w:hint="eastAsia"/>
          <w:sz w:val="24"/>
          <w:szCs w:val="24"/>
        </w:rPr>
        <w:t>3.3 其他：</w:t>
      </w:r>
    </w:p>
    <w:p w:rsidR="0021257D" w:rsidRPr="00D22635" w:rsidRDefault="0021257D" w:rsidP="0021257D">
      <w:pPr>
        <w:pStyle w:val="p14"/>
        <w:spacing w:line="360" w:lineRule="auto"/>
        <w:ind w:firstLineChars="200" w:firstLine="480"/>
        <w:rPr>
          <w:sz w:val="24"/>
          <w:szCs w:val="24"/>
        </w:rPr>
      </w:pPr>
      <w:r w:rsidRPr="00D22635">
        <w:rPr>
          <w:rFonts w:hint="eastAsia"/>
          <w:sz w:val="24"/>
          <w:szCs w:val="24"/>
        </w:rPr>
        <w:t>（1）在中国境内依法注册的企业法人</w:t>
      </w:r>
      <w:r w:rsidRPr="00D22635">
        <w:rPr>
          <w:sz w:val="24"/>
          <w:szCs w:val="24"/>
        </w:rPr>
        <w:t>，</w:t>
      </w:r>
      <w:r w:rsidRPr="00D22635">
        <w:rPr>
          <w:rFonts w:hint="eastAsia"/>
          <w:sz w:val="24"/>
          <w:szCs w:val="24"/>
        </w:rPr>
        <w:t>具备</w:t>
      </w:r>
      <w:r w:rsidRPr="00D22635">
        <w:rPr>
          <w:sz w:val="24"/>
          <w:szCs w:val="24"/>
        </w:rPr>
        <w:t>独立承担民事责任能力</w:t>
      </w:r>
      <w:r w:rsidRPr="00D22635">
        <w:rPr>
          <w:rFonts w:hint="eastAsia"/>
          <w:sz w:val="24"/>
          <w:szCs w:val="24"/>
        </w:rPr>
        <w:t>，且合法存续；没有处于被吊销营业执照、责令关闭或者被撤销等不良状态；在人员、资金等方面具有相应的能力。</w:t>
      </w:r>
    </w:p>
    <w:p w:rsidR="0021257D" w:rsidRPr="00D22635" w:rsidRDefault="0021257D" w:rsidP="0021257D">
      <w:pPr>
        <w:pStyle w:val="p14"/>
        <w:spacing w:line="360" w:lineRule="auto"/>
        <w:ind w:firstLineChars="200" w:firstLine="480"/>
        <w:rPr>
          <w:rFonts w:hint="eastAsia"/>
          <w:sz w:val="24"/>
          <w:szCs w:val="24"/>
        </w:rPr>
      </w:pPr>
      <w:r w:rsidRPr="00D22635">
        <w:rPr>
          <w:rFonts w:hint="eastAsia"/>
          <w:sz w:val="24"/>
          <w:szCs w:val="24"/>
        </w:rPr>
        <w:t>（2）提供2023年度经会计师事务所或审计机构审计的审计报告及财务报表（包括资产负债表、利润表或损益表、现金流量表），成立不满上述时间的，提供自成立至今的财务报表（包括资产负债表、利润表或损益表、现金流量表）或财务情况说明。且中标候选人须无条件接受和协助招标人对其进行的</w:t>
      </w:r>
      <w:proofErr w:type="gramStart"/>
      <w:r w:rsidRPr="00D22635">
        <w:rPr>
          <w:rFonts w:hint="eastAsia"/>
          <w:sz w:val="24"/>
          <w:szCs w:val="24"/>
        </w:rPr>
        <w:t>财务尽调及法律尽调等</w:t>
      </w:r>
      <w:proofErr w:type="gramEnd"/>
      <w:r w:rsidRPr="00D22635">
        <w:rPr>
          <w:rFonts w:hint="eastAsia"/>
          <w:sz w:val="24"/>
          <w:szCs w:val="24"/>
        </w:rPr>
        <w:t>调查。</w:t>
      </w:r>
    </w:p>
    <w:p w:rsidR="0021257D" w:rsidRPr="00D22635" w:rsidRDefault="0021257D" w:rsidP="0021257D">
      <w:pPr>
        <w:pStyle w:val="p14"/>
        <w:spacing w:line="360" w:lineRule="auto"/>
        <w:ind w:firstLineChars="200" w:firstLine="480"/>
        <w:rPr>
          <w:rFonts w:hint="eastAsia"/>
          <w:sz w:val="24"/>
          <w:szCs w:val="24"/>
        </w:rPr>
      </w:pPr>
      <w:r w:rsidRPr="00D22635">
        <w:rPr>
          <w:rFonts w:hint="eastAsia"/>
          <w:sz w:val="24"/>
          <w:szCs w:val="24"/>
        </w:rPr>
        <w:t>（3）自2020年至今年无因投标人违约或不恰当履约引起的合同中止、纠纷、争议、仲裁和诉讼记录。企业目前没有处于被停产停业、暂扣或吊销许可证、暂扣或吊销执照的；未进入清算程序、财产被接管或破产状态、冻结、破产等状态，投标资格被暂停或取消，无国家禁止市场准入等情形、或其他丧失履约能力的情形。且中标候选人须无条件接受和协助招标人对其进行的</w:t>
      </w:r>
      <w:proofErr w:type="gramStart"/>
      <w:r w:rsidRPr="00D22635">
        <w:rPr>
          <w:rFonts w:hint="eastAsia"/>
          <w:sz w:val="24"/>
          <w:szCs w:val="24"/>
        </w:rPr>
        <w:t>财务尽调及法律尽调等</w:t>
      </w:r>
      <w:proofErr w:type="gramEnd"/>
      <w:r w:rsidRPr="00D22635">
        <w:rPr>
          <w:rFonts w:hint="eastAsia"/>
          <w:sz w:val="24"/>
          <w:szCs w:val="24"/>
        </w:rPr>
        <w:t>调查的书面声明。</w:t>
      </w:r>
    </w:p>
    <w:p w:rsidR="0021257D" w:rsidRPr="00D22635" w:rsidRDefault="0021257D" w:rsidP="0021257D">
      <w:pPr>
        <w:pStyle w:val="p14"/>
        <w:spacing w:line="360" w:lineRule="auto"/>
        <w:ind w:firstLineChars="200" w:firstLine="480"/>
        <w:rPr>
          <w:rFonts w:hint="eastAsia"/>
          <w:sz w:val="24"/>
          <w:szCs w:val="24"/>
        </w:rPr>
      </w:pPr>
      <w:r w:rsidRPr="00D22635">
        <w:rPr>
          <w:rFonts w:hint="eastAsia"/>
          <w:sz w:val="24"/>
          <w:szCs w:val="24"/>
        </w:rPr>
        <w:t>（4）单位负责人为同一人或者存在直接控股、管理关系的不同投标人，不得同时参加本次投标活动。</w:t>
      </w:r>
    </w:p>
    <w:p w:rsidR="0021257D" w:rsidRPr="00D22635" w:rsidRDefault="0021257D" w:rsidP="0021257D">
      <w:pPr>
        <w:pStyle w:val="2"/>
        <w:numPr>
          <w:ilvl w:val="0"/>
          <w:numId w:val="1"/>
        </w:numPr>
        <w:spacing w:line="400" w:lineRule="exact"/>
        <w:ind w:left="482" w:hangingChars="200" w:hanging="482"/>
        <w:rPr>
          <w:rFonts w:ascii="黑体" w:hAnsi="黑体" w:cs="宋体" w:hint="eastAsia"/>
          <w:sz w:val="24"/>
          <w:szCs w:val="24"/>
        </w:rPr>
      </w:pPr>
      <w:r w:rsidRPr="00D22635">
        <w:rPr>
          <w:rFonts w:ascii="黑体" w:hAnsi="黑体" w:cs="宋体" w:hint="eastAsia"/>
          <w:sz w:val="24"/>
          <w:szCs w:val="24"/>
        </w:rPr>
        <w:t xml:space="preserve">招标文件的获取    </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4.1凡有意参加投标者（以网上公告时间为准），登录昆明市公共资源交易</w:t>
      </w:r>
      <w:r w:rsidRPr="00D22635">
        <w:rPr>
          <w:rFonts w:ascii="宋体" w:hAnsi="宋体" w:hint="eastAsia"/>
          <w:sz w:val="24"/>
          <w:szCs w:val="24"/>
        </w:rPr>
        <w:lastRenderedPageBreak/>
        <w:t xml:space="preserve">电子服务系统 全国公共资源交易平台（云南省•昆明市），凭企业数字证书（CA）在网上获取招标文件及其它招标资料；未办理企业数字证书（CA）的企业需要按照昆明市公共资源交易电子认证的要求，办理企业数字证书（CA），并在云南省公共资源交易中心网完成注册通过后，便可获取招标文件，此为获取招标文件的唯一途径。 </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 xml:space="preserve">4.2 招标人不提供邮购招标文件服务。  </w:t>
      </w:r>
    </w:p>
    <w:p w:rsidR="0021257D" w:rsidRPr="00D22635" w:rsidRDefault="0021257D" w:rsidP="0021257D">
      <w:pPr>
        <w:pStyle w:val="2"/>
        <w:numPr>
          <w:ilvl w:val="0"/>
          <w:numId w:val="1"/>
        </w:numPr>
        <w:spacing w:line="400" w:lineRule="exact"/>
        <w:ind w:left="482" w:hangingChars="200" w:hanging="482"/>
        <w:rPr>
          <w:rFonts w:ascii="黑体" w:hAnsi="黑体" w:cs="宋体" w:hint="eastAsia"/>
          <w:sz w:val="24"/>
          <w:szCs w:val="24"/>
        </w:rPr>
      </w:pPr>
      <w:r w:rsidRPr="00D22635">
        <w:rPr>
          <w:rFonts w:ascii="黑体" w:hAnsi="黑体" w:cs="宋体" w:hint="eastAsia"/>
          <w:sz w:val="24"/>
          <w:szCs w:val="24"/>
        </w:rPr>
        <w:t>投标文件的递交</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5.1投标文件上传的截止时间（投标截止时间，下同）以网上公告时间为准。</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5.2 网上递交：昆明市公共资源交易电子服务系统 全国公共资源交易平台（云南省•昆明市），投标人须在投标截止时间前完成所有投标文件的上传，网上确认电子签名，并打印“上传投标文件回执”，投标截止时间前未完成投标文件传输的，视为撤回投标文件。</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5.3其他（开标规定等）：开标采用“智能开标”的方式，开标网址为：昆明市公共资源交易电子服务系统 全国公共资源交易平台（云南省•昆明市）。</w:t>
      </w:r>
    </w:p>
    <w:p w:rsidR="0021257D" w:rsidRPr="00D22635" w:rsidRDefault="0021257D" w:rsidP="0021257D">
      <w:pPr>
        <w:spacing w:line="360" w:lineRule="auto"/>
        <w:ind w:firstLineChars="200" w:firstLine="480"/>
        <w:rPr>
          <w:rFonts w:ascii="宋体" w:hAnsi="宋体" w:hint="eastAsia"/>
          <w:sz w:val="24"/>
          <w:szCs w:val="24"/>
        </w:rPr>
      </w:pPr>
      <w:r w:rsidRPr="00D22635">
        <w:rPr>
          <w:rFonts w:ascii="宋体" w:hAnsi="宋体" w:hint="eastAsia"/>
          <w:sz w:val="24"/>
          <w:szCs w:val="24"/>
        </w:rPr>
        <w:t>注：智能开标的操作流程详见《云南省公共资源交易平台投标人(供应商）培训教材》。技术操作咨询：</w:t>
      </w:r>
      <w:proofErr w:type="gramStart"/>
      <w:r w:rsidRPr="00D22635">
        <w:rPr>
          <w:rFonts w:ascii="宋体" w:hAnsi="宋体" w:hint="eastAsia"/>
          <w:sz w:val="24"/>
          <w:szCs w:val="24"/>
        </w:rPr>
        <w:t>北京筑龙信息技术</w:t>
      </w:r>
      <w:proofErr w:type="gramEnd"/>
      <w:r w:rsidRPr="00D22635">
        <w:rPr>
          <w:rFonts w:ascii="宋体" w:hAnsi="宋体" w:hint="eastAsia"/>
          <w:sz w:val="24"/>
          <w:szCs w:val="24"/>
        </w:rPr>
        <w:t>有限责任公司服务热线：010-86483801。请投标人仔细阅读以保证开标顺利进行，若投标人没有在规定时间完成以上相关操作，则视为撤销其投标文件，不再进入评标阶段</w:t>
      </w:r>
    </w:p>
    <w:p w:rsidR="0021257D" w:rsidRPr="00D22635" w:rsidRDefault="0021257D" w:rsidP="0021257D">
      <w:pPr>
        <w:pStyle w:val="2"/>
        <w:numPr>
          <w:ilvl w:val="0"/>
          <w:numId w:val="1"/>
        </w:numPr>
        <w:spacing w:line="400" w:lineRule="exact"/>
        <w:ind w:left="482" w:hangingChars="200" w:hanging="482"/>
        <w:rPr>
          <w:rFonts w:ascii="黑体" w:hAnsi="黑体" w:cs="宋体"/>
          <w:sz w:val="24"/>
          <w:szCs w:val="24"/>
        </w:rPr>
      </w:pPr>
      <w:r w:rsidRPr="00D22635">
        <w:rPr>
          <w:rFonts w:ascii="黑体" w:hAnsi="黑体" w:cs="宋体" w:hint="eastAsia"/>
          <w:sz w:val="24"/>
          <w:szCs w:val="24"/>
        </w:rPr>
        <w:t>发布公告的媒介</w:t>
      </w:r>
    </w:p>
    <w:p w:rsidR="0021257D" w:rsidRPr="00D22635" w:rsidRDefault="0021257D" w:rsidP="0021257D">
      <w:pPr>
        <w:spacing w:line="360" w:lineRule="auto"/>
        <w:ind w:firstLineChars="200" w:firstLine="480"/>
        <w:rPr>
          <w:rFonts w:ascii="宋体" w:hAnsi="宋体"/>
          <w:sz w:val="24"/>
          <w:szCs w:val="24"/>
        </w:rPr>
      </w:pPr>
      <w:r w:rsidRPr="00D22635">
        <w:rPr>
          <w:rFonts w:ascii="宋体" w:hAnsi="宋体" w:hint="eastAsia"/>
          <w:sz w:val="24"/>
          <w:szCs w:val="24"/>
        </w:rPr>
        <w:t>本次招标公告在昆明市公共资源交易电子服务系统全国公共资源交易平台（云南省•昆明市）、中国招标投标公共服务平台、</w:t>
      </w:r>
      <w:proofErr w:type="gramStart"/>
      <w:r w:rsidRPr="00D22635">
        <w:rPr>
          <w:rFonts w:ascii="宋体" w:hAnsi="宋体" w:hint="eastAsia"/>
          <w:sz w:val="24"/>
          <w:szCs w:val="24"/>
        </w:rPr>
        <w:t>昆明公交集团有限责任公司官网发布</w:t>
      </w:r>
      <w:proofErr w:type="gramEnd"/>
      <w:r w:rsidRPr="00D22635">
        <w:rPr>
          <w:rFonts w:ascii="宋体" w:hAnsi="宋体" w:hint="eastAsia"/>
          <w:sz w:val="24"/>
          <w:szCs w:val="24"/>
        </w:rPr>
        <w:t>。</w:t>
      </w:r>
    </w:p>
    <w:p w:rsidR="0021257D" w:rsidRPr="00D22635" w:rsidRDefault="0021257D" w:rsidP="0021257D">
      <w:pPr>
        <w:pStyle w:val="2"/>
        <w:numPr>
          <w:ilvl w:val="0"/>
          <w:numId w:val="1"/>
        </w:numPr>
        <w:spacing w:line="400" w:lineRule="exact"/>
        <w:ind w:left="482" w:hangingChars="200" w:hanging="482"/>
        <w:rPr>
          <w:rFonts w:ascii="黑体" w:hAnsi="黑体" w:cs="宋体"/>
          <w:sz w:val="24"/>
          <w:szCs w:val="24"/>
        </w:rPr>
      </w:pPr>
      <w:r w:rsidRPr="00D22635">
        <w:rPr>
          <w:rFonts w:ascii="黑体" w:hAnsi="黑体" w:cs="宋体" w:hint="eastAsia"/>
          <w:sz w:val="24"/>
          <w:szCs w:val="24"/>
        </w:rPr>
        <w:t>联系方式</w:t>
      </w:r>
    </w:p>
    <w:tbl>
      <w:tblPr>
        <w:tblW w:w="0" w:type="auto"/>
        <w:jc w:val="center"/>
        <w:tblLayout w:type="fixed"/>
        <w:tblLook w:val="0000" w:firstRow="0" w:lastRow="0" w:firstColumn="0" w:lastColumn="0" w:noHBand="0" w:noVBand="0"/>
      </w:tblPr>
      <w:tblGrid>
        <w:gridCol w:w="4530"/>
        <w:gridCol w:w="4530"/>
      </w:tblGrid>
      <w:tr w:rsidR="0021257D" w:rsidRPr="00D22635" w:rsidTr="004B2585">
        <w:trPr>
          <w:jc w:val="center"/>
        </w:trPr>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 xml:space="preserve">招标人：昆明公交集团有限责任公司    </w:t>
            </w:r>
          </w:p>
        </w:tc>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招标代理机构：云南国瑞咨询管理有限公司</w:t>
            </w:r>
          </w:p>
        </w:tc>
      </w:tr>
      <w:tr w:rsidR="0021257D" w:rsidRPr="00D22635" w:rsidTr="004B2585">
        <w:trPr>
          <w:jc w:val="center"/>
        </w:trPr>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地   址：昆明市霖雨路146-148号</w:t>
            </w:r>
          </w:p>
        </w:tc>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地址：昆明市东风西路99号新纪元广场11楼11号</w:t>
            </w:r>
          </w:p>
        </w:tc>
      </w:tr>
      <w:tr w:rsidR="0021257D" w:rsidRPr="00D22635" w:rsidTr="004B2585">
        <w:trPr>
          <w:trHeight w:val="504"/>
          <w:jc w:val="center"/>
        </w:trPr>
        <w:tc>
          <w:tcPr>
            <w:tcW w:w="4530" w:type="dxa"/>
            <w:vAlign w:val="center"/>
          </w:tcPr>
          <w:p w:rsidR="0021257D" w:rsidRPr="00D22635" w:rsidRDefault="0021257D" w:rsidP="004B2585">
            <w:pPr>
              <w:rPr>
                <w:rFonts w:ascii="宋体" w:hAnsi="宋体" w:cs="宋体" w:hint="eastAsia"/>
                <w:sz w:val="24"/>
                <w:szCs w:val="24"/>
              </w:rPr>
            </w:pPr>
            <w:proofErr w:type="gramStart"/>
            <w:r w:rsidRPr="00D22635">
              <w:rPr>
                <w:rFonts w:ascii="宋体" w:hAnsi="宋体" w:cs="宋体" w:hint="eastAsia"/>
                <w:sz w:val="24"/>
                <w:szCs w:val="24"/>
              </w:rPr>
              <w:t>邮</w:t>
            </w:r>
            <w:proofErr w:type="gramEnd"/>
            <w:r w:rsidRPr="00D22635">
              <w:rPr>
                <w:rFonts w:ascii="宋体" w:hAnsi="宋体" w:cs="宋体" w:hint="eastAsia"/>
                <w:sz w:val="24"/>
                <w:szCs w:val="24"/>
              </w:rPr>
              <w:t xml:space="preserve">    编：</w:t>
            </w:r>
            <w:r w:rsidRPr="00D22635">
              <w:rPr>
                <w:rFonts w:ascii="宋体" w:hAnsi="宋体" w:cs="宋体"/>
                <w:sz w:val="24"/>
                <w:szCs w:val="24"/>
              </w:rPr>
              <w:t>650021</w:t>
            </w:r>
            <w:r w:rsidRPr="00D22635">
              <w:rPr>
                <w:rFonts w:ascii="宋体" w:hAnsi="宋体" w:cs="宋体" w:hint="eastAsia"/>
                <w:sz w:val="24"/>
                <w:szCs w:val="24"/>
              </w:rPr>
              <w:t xml:space="preserve">                                          </w:t>
            </w:r>
          </w:p>
        </w:tc>
        <w:tc>
          <w:tcPr>
            <w:tcW w:w="4530" w:type="dxa"/>
            <w:vAlign w:val="center"/>
          </w:tcPr>
          <w:p w:rsidR="0021257D" w:rsidRPr="00D22635" w:rsidRDefault="0021257D" w:rsidP="004B2585">
            <w:pPr>
              <w:rPr>
                <w:rFonts w:ascii="宋体" w:hAnsi="宋体" w:cs="宋体" w:hint="eastAsia"/>
                <w:sz w:val="24"/>
                <w:szCs w:val="24"/>
              </w:rPr>
            </w:pPr>
            <w:proofErr w:type="gramStart"/>
            <w:r w:rsidRPr="00D22635">
              <w:rPr>
                <w:rFonts w:ascii="宋体" w:hAnsi="宋体" w:cs="宋体" w:hint="eastAsia"/>
                <w:sz w:val="24"/>
                <w:szCs w:val="24"/>
              </w:rPr>
              <w:t>邮</w:t>
            </w:r>
            <w:proofErr w:type="gramEnd"/>
            <w:r w:rsidRPr="00D22635">
              <w:rPr>
                <w:rFonts w:ascii="宋体" w:hAnsi="宋体" w:cs="宋体" w:hint="eastAsia"/>
                <w:sz w:val="24"/>
                <w:szCs w:val="24"/>
              </w:rPr>
              <w:t xml:space="preserve">    编： 650021                    </w:t>
            </w:r>
          </w:p>
        </w:tc>
      </w:tr>
      <w:tr w:rsidR="0021257D" w:rsidRPr="00D22635" w:rsidTr="004B2585">
        <w:trPr>
          <w:jc w:val="center"/>
        </w:trPr>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lastRenderedPageBreak/>
              <w:t xml:space="preserve">联 系 人： 尹洁娜                    </w:t>
            </w:r>
          </w:p>
        </w:tc>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 xml:space="preserve">联 系 人： </w:t>
            </w:r>
            <w:proofErr w:type="gramStart"/>
            <w:r w:rsidRPr="00D22635">
              <w:rPr>
                <w:rFonts w:ascii="宋体" w:hAnsi="宋体" w:cs="宋体" w:hint="eastAsia"/>
                <w:sz w:val="24"/>
                <w:szCs w:val="24"/>
              </w:rPr>
              <w:t>鲁敏</w:t>
            </w:r>
            <w:proofErr w:type="gramEnd"/>
            <w:r w:rsidRPr="00D22635">
              <w:rPr>
                <w:rFonts w:ascii="宋体" w:hAnsi="宋体" w:cs="宋体" w:hint="eastAsia"/>
                <w:sz w:val="24"/>
                <w:szCs w:val="24"/>
              </w:rPr>
              <w:t xml:space="preserve">  </w:t>
            </w:r>
            <w:r w:rsidRPr="00D22635">
              <w:rPr>
                <w:rFonts w:ascii="宋体" w:hAnsi="宋体" w:hint="eastAsia"/>
                <w:sz w:val="24"/>
                <w:szCs w:val="24"/>
              </w:rPr>
              <w:t>谭向雪  黄孟潞</w:t>
            </w:r>
            <w:r w:rsidRPr="00D22635">
              <w:rPr>
                <w:rFonts w:ascii="宋体" w:hAnsi="宋体" w:cs="宋体" w:hint="eastAsia"/>
                <w:sz w:val="24"/>
                <w:szCs w:val="24"/>
              </w:rPr>
              <w:t xml:space="preserve">  </w:t>
            </w:r>
          </w:p>
        </w:tc>
      </w:tr>
      <w:tr w:rsidR="0021257D" w:rsidRPr="00D22635" w:rsidTr="004B2585">
        <w:trPr>
          <w:trHeight w:val="433"/>
          <w:jc w:val="center"/>
        </w:trPr>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 xml:space="preserve">电    话： 15877930071 </w:t>
            </w:r>
          </w:p>
        </w:tc>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 xml:space="preserve">电    话：   0871-63635661 </w:t>
            </w:r>
          </w:p>
        </w:tc>
      </w:tr>
      <w:tr w:rsidR="0021257D" w:rsidRPr="00D22635" w:rsidTr="004B2585">
        <w:trPr>
          <w:jc w:val="center"/>
        </w:trPr>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 xml:space="preserve"> </w:t>
            </w:r>
          </w:p>
        </w:tc>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 xml:space="preserve">传    真：   0871-63626450      </w:t>
            </w:r>
          </w:p>
        </w:tc>
      </w:tr>
      <w:tr w:rsidR="0021257D" w:rsidRPr="00D22635" w:rsidTr="004B2585">
        <w:trPr>
          <w:jc w:val="center"/>
        </w:trPr>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 xml:space="preserve">                          </w:t>
            </w:r>
          </w:p>
        </w:tc>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 xml:space="preserve">开户银行：工商银行昆明市南屏支行   </w:t>
            </w:r>
          </w:p>
        </w:tc>
      </w:tr>
      <w:tr w:rsidR="0021257D" w:rsidRPr="00D22635" w:rsidTr="004B2585">
        <w:trPr>
          <w:trHeight w:val="763"/>
          <w:jc w:val="center"/>
        </w:trPr>
        <w:tc>
          <w:tcPr>
            <w:tcW w:w="4530" w:type="dxa"/>
            <w:vAlign w:val="center"/>
          </w:tcPr>
          <w:p w:rsidR="0021257D" w:rsidRPr="00D22635" w:rsidRDefault="0021257D" w:rsidP="004B2585">
            <w:pPr>
              <w:rPr>
                <w:rFonts w:ascii="宋体" w:hAnsi="宋体" w:cs="宋体" w:hint="eastAsia"/>
                <w:sz w:val="24"/>
                <w:szCs w:val="24"/>
              </w:rPr>
            </w:pPr>
          </w:p>
        </w:tc>
        <w:tc>
          <w:tcPr>
            <w:tcW w:w="4530" w:type="dxa"/>
            <w:vAlign w:val="center"/>
          </w:tcPr>
          <w:p w:rsidR="0021257D" w:rsidRPr="00D22635" w:rsidRDefault="0021257D" w:rsidP="004B2585">
            <w:pPr>
              <w:rPr>
                <w:rFonts w:ascii="宋体" w:hAnsi="宋体" w:cs="宋体" w:hint="eastAsia"/>
                <w:sz w:val="24"/>
                <w:szCs w:val="24"/>
              </w:rPr>
            </w:pPr>
            <w:r w:rsidRPr="00D22635">
              <w:rPr>
                <w:rFonts w:ascii="宋体" w:hAnsi="宋体" w:cs="宋体" w:hint="eastAsia"/>
                <w:sz w:val="24"/>
                <w:szCs w:val="24"/>
              </w:rPr>
              <w:t>账号：2502011019221503739</w:t>
            </w:r>
          </w:p>
          <w:p w:rsidR="0021257D" w:rsidRPr="00D22635" w:rsidRDefault="0021257D" w:rsidP="004B2585">
            <w:pPr>
              <w:rPr>
                <w:rFonts w:ascii="宋体" w:hAnsi="宋体" w:cs="宋体" w:hint="eastAsia"/>
                <w:sz w:val="24"/>
                <w:szCs w:val="24"/>
              </w:rPr>
            </w:pPr>
          </w:p>
        </w:tc>
      </w:tr>
    </w:tbl>
    <w:p w:rsidR="0021257D" w:rsidRPr="0021257D" w:rsidRDefault="0021257D" w:rsidP="0021257D">
      <w:pPr>
        <w:spacing w:line="360" w:lineRule="auto"/>
        <w:jc w:val="center"/>
        <w:rPr>
          <w:lang w:val="en-US"/>
        </w:rPr>
      </w:pPr>
    </w:p>
    <w:sectPr w:rsidR="0021257D" w:rsidRPr="00212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86461"/>
    <w:multiLevelType w:val="multilevel"/>
    <w:tmpl w:val="6888646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7D"/>
    <w:rsid w:val="0021257D"/>
    <w:rsid w:val="004D6A02"/>
    <w:rsid w:val="005B5CFC"/>
    <w:rsid w:val="0088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7D"/>
    <w:pPr>
      <w:widowControl w:val="0"/>
      <w:jc w:val="both"/>
    </w:pPr>
    <w:rPr>
      <w:rFonts w:ascii="Times New Roman" w:eastAsia="宋体" w:hAnsi="Times New Roman" w:cs="Times New Roman"/>
      <w:szCs w:val="20"/>
    </w:rPr>
  </w:style>
  <w:style w:type="paragraph" w:styleId="2">
    <w:name w:val="heading 2"/>
    <w:basedOn w:val="a"/>
    <w:next w:val="a"/>
    <w:link w:val="2Char1"/>
    <w:qFormat/>
    <w:rsid w:val="0021257D"/>
    <w:pPr>
      <w:keepNext/>
      <w:keepLines/>
      <w:widowControl/>
      <w:spacing w:before="260" w:after="260" w:line="416" w:lineRule="auto"/>
      <w:jc w:val="left"/>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21257D"/>
    <w:rPr>
      <w:rFonts w:asciiTheme="majorHAnsi" w:eastAsiaTheme="majorEastAsia" w:hAnsiTheme="majorHAnsi" w:cstheme="majorBidi"/>
      <w:b/>
      <w:bCs/>
      <w:sz w:val="32"/>
      <w:szCs w:val="32"/>
    </w:rPr>
  </w:style>
  <w:style w:type="character" w:customStyle="1" w:styleId="2Char1">
    <w:name w:val="标题 2 Char1"/>
    <w:link w:val="2"/>
    <w:qFormat/>
    <w:rsid w:val="0021257D"/>
    <w:rPr>
      <w:rFonts w:ascii="Arial" w:eastAsia="黑体" w:hAnsi="Arial" w:cs="Times New Roman"/>
      <w:b/>
      <w:bCs/>
      <w:kern w:val="0"/>
      <w:sz w:val="32"/>
      <w:szCs w:val="32"/>
    </w:rPr>
  </w:style>
  <w:style w:type="paragraph" w:customStyle="1" w:styleId="p14">
    <w:name w:val="p14"/>
    <w:basedOn w:val="a"/>
    <w:rsid w:val="0021257D"/>
    <w:pPr>
      <w:widowControl/>
      <w:spacing w:line="480" w:lineRule="auto"/>
      <w:jc w:val="left"/>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57D"/>
    <w:pPr>
      <w:widowControl w:val="0"/>
      <w:jc w:val="both"/>
    </w:pPr>
    <w:rPr>
      <w:rFonts w:ascii="Times New Roman" w:eastAsia="宋体" w:hAnsi="Times New Roman" w:cs="Times New Roman"/>
      <w:szCs w:val="20"/>
    </w:rPr>
  </w:style>
  <w:style w:type="paragraph" w:styleId="2">
    <w:name w:val="heading 2"/>
    <w:basedOn w:val="a"/>
    <w:next w:val="a"/>
    <w:link w:val="2Char1"/>
    <w:qFormat/>
    <w:rsid w:val="0021257D"/>
    <w:pPr>
      <w:keepNext/>
      <w:keepLines/>
      <w:widowControl/>
      <w:spacing w:before="260" w:after="260" w:line="416" w:lineRule="auto"/>
      <w:jc w:val="left"/>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21257D"/>
    <w:rPr>
      <w:rFonts w:asciiTheme="majorHAnsi" w:eastAsiaTheme="majorEastAsia" w:hAnsiTheme="majorHAnsi" w:cstheme="majorBidi"/>
      <w:b/>
      <w:bCs/>
      <w:sz w:val="32"/>
      <w:szCs w:val="32"/>
    </w:rPr>
  </w:style>
  <w:style w:type="character" w:customStyle="1" w:styleId="2Char1">
    <w:name w:val="标题 2 Char1"/>
    <w:link w:val="2"/>
    <w:qFormat/>
    <w:rsid w:val="0021257D"/>
    <w:rPr>
      <w:rFonts w:ascii="Arial" w:eastAsia="黑体" w:hAnsi="Arial" w:cs="Times New Roman"/>
      <w:b/>
      <w:bCs/>
      <w:kern w:val="0"/>
      <w:sz w:val="32"/>
      <w:szCs w:val="32"/>
    </w:rPr>
  </w:style>
  <w:style w:type="paragraph" w:customStyle="1" w:styleId="p14">
    <w:name w:val="p14"/>
    <w:basedOn w:val="a"/>
    <w:rsid w:val="0021257D"/>
    <w:pPr>
      <w:widowControl/>
      <w:spacing w:line="480" w:lineRule="auto"/>
      <w:jc w:val="left"/>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3026</Characters>
  <Application>Microsoft Office Word</Application>
  <DocSecurity>0</DocSecurity>
  <Lines>25</Lines>
  <Paragraphs>7</Paragraphs>
  <ScaleCrop>false</ScaleCrop>
  <Company>China</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2024-10-12T04:58:00Z</dcterms:created>
  <dcterms:modified xsi:type="dcterms:W3CDTF">2024-10-12T04:58:00Z</dcterms:modified>
</cp:coreProperties>
</file>