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4"/>
          <w:szCs w:val="44"/>
          <w:lang w:eastAsia="zh-CN"/>
        </w:rPr>
      </w:pPr>
      <w:r>
        <w:rPr>
          <w:rFonts w:hint="eastAsia" w:ascii="宋体" w:hAnsi="宋体" w:cs="宋体"/>
          <w:b/>
          <w:sz w:val="44"/>
          <w:szCs w:val="44"/>
        </w:rPr>
        <w:t>中标公</w:t>
      </w:r>
      <w:r>
        <w:rPr>
          <w:rFonts w:hint="eastAsia" w:ascii="宋体" w:hAnsi="宋体" w:cs="宋体"/>
          <w:b/>
          <w:sz w:val="44"/>
          <w:szCs w:val="44"/>
          <w:lang w:eastAsia="zh-CN"/>
        </w:rPr>
        <w:t>告</w:t>
      </w:r>
    </w:p>
    <w:tbl>
      <w:tblPr>
        <w:tblStyle w:val="2"/>
        <w:tblW w:w="16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379"/>
        <w:gridCol w:w="2385"/>
        <w:gridCol w:w="1337"/>
        <w:gridCol w:w="913"/>
        <w:gridCol w:w="465"/>
        <w:gridCol w:w="2317"/>
        <w:gridCol w:w="546"/>
        <w:gridCol w:w="1800"/>
        <w:gridCol w:w="280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招标人</w:t>
            </w:r>
          </w:p>
        </w:tc>
        <w:tc>
          <w:tcPr>
            <w:tcW w:w="5100" w:type="dxa"/>
            <w:gridSpan w:val="4"/>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昆明公交集团有限责任公司</w:t>
            </w:r>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招标人地址</w:t>
            </w:r>
          </w:p>
        </w:tc>
        <w:tc>
          <w:tcPr>
            <w:tcW w:w="5829" w:type="dxa"/>
            <w:gridSpan w:val="3"/>
            <w:noWrap w:val="0"/>
            <w:vAlign w:val="center"/>
          </w:tcPr>
          <w:p>
            <w:pPr>
              <w:spacing w:line="240" w:lineRule="exact"/>
              <w:jc w:val="center"/>
              <w:rPr>
                <w:rFonts w:hint="default" w:ascii="宋体" w:hAnsi="宋体" w:cs="宋体"/>
                <w:color w:val="auto"/>
                <w:sz w:val="21"/>
                <w:szCs w:val="21"/>
                <w:lang w:val="en-US" w:eastAsia="zh-CN" w:bidi="zh-CN"/>
              </w:rPr>
            </w:pPr>
            <w:r>
              <w:rPr>
                <w:rFonts w:hint="eastAsia" w:ascii="宋体" w:hAnsi="宋体" w:cs="宋体"/>
                <w:color w:val="auto"/>
                <w:sz w:val="21"/>
                <w:szCs w:val="21"/>
                <w:lang w:val="zh-CN" w:eastAsia="zh-CN" w:bidi="zh-CN"/>
              </w:rPr>
              <w:t>昆明市霖雨路146号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招标联系人</w:t>
            </w:r>
          </w:p>
        </w:tc>
        <w:tc>
          <w:tcPr>
            <w:tcW w:w="5100" w:type="dxa"/>
            <w:gridSpan w:val="4"/>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en-US" w:eastAsia="zh-CN" w:bidi="zh-CN"/>
              </w:rPr>
              <w:t xml:space="preserve"> 郭玮</w:t>
            </w:r>
            <w:r>
              <w:rPr>
                <w:rFonts w:hint="eastAsia" w:ascii="宋体" w:hAnsi="宋体" w:cs="宋体"/>
                <w:color w:val="auto"/>
                <w:sz w:val="21"/>
                <w:szCs w:val="21"/>
                <w:lang w:val="zh-CN" w:eastAsia="zh-CN" w:bidi="zh-CN"/>
              </w:rPr>
              <w:t xml:space="preserve"> </w:t>
            </w:r>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联系电话</w:t>
            </w:r>
          </w:p>
        </w:tc>
        <w:tc>
          <w:tcPr>
            <w:tcW w:w="5829"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63110487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招标代理机构</w:t>
            </w:r>
          </w:p>
        </w:tc>
        <w:tc>
          <w:tcPr>
            <w:tcW w:w="5100" w:type="dxa"/>
            <w:gridSpan w:val="4"/>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云南国瑞咨询管理有限公司</w:t>
            </w:r>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招标代理机构地址</w:t>
            </w:r>
          </w:p>
        </w:tc>
        <w:tc>
          <w:tcPr>
            <w:tcW w:w="5829"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招标代理联系人</w:t>
            </w:r>
          </w:p>
        </w:tc>
        <w:tc>
          <w:tcPr>
            <w:tcW w:w="5100" w:type="dxa"/>
            <w:gridSpan w:val="4"/>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黄孟潞</w:t>
            </w:r>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联系电话</w:t>
            </w:r>
          </w:p>
        </w:tc>
        <w:tc>
          <w:tcPr>
            <w:tcW w:w="5829"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 xml:space="preserve"> 0871-63635661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项目名称</w:t>
            </w:r>
          </w:p>
        </w:tc>
        <w:tc>
          <w:tcPr>
            <w:tcW w:w="5100" w:type="dxa"/>
            <w:gridSpan w:val="4"/>
            <w:noWrap w:val="0"/>
            <w:vAlign w:val="center"/>
          </w:tcPr>
          <w:p>
            <w:pPr>
              <w:spacing w:line="240" w:lineRule="exact"/>
              <w:jc w:val="center"/>
              <w:rPr>
                <w:rFonts w:hint="eastAsia" w:ascii="宋体" w:hAnsi="宋体" w:cs="宋体"/>
                <w:color w:val="auto"/>
                <w:sz w:val="21"/>
                <w:szCs w:val="21"/>
                <w:lang w:val="zh-CN" w:eastAsia="zh-CN" w:bidi="zh-CN"/>
              </w:rPr>
            </w:pPr>
            <w:bookmarkStart w:id="0" w:name="_GoBack"/>
            <w:r>
              <w:rPr>
                <w:rFonts w:hint="eastAsia"/>
                <w:bCs/>
                <w:sz w:val="21"/>
                <w:szCs w:val="21"/>
                <w:lang w:val="zh-CN"/>
              </w:rPr>
              <w:t>昆明公交集团有限责任公司公交广告资源价值评估公司入围项目</w:t>
            </w:r>
            <w:bookmarkEnd w:id="0"/>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监督部门名称及联系方式</w:t>
            </w:r>
          </w:p>
        </w:tc>
        <w:tc>
          <w:tcPr>
            <w:tcW w:w="5829" w:type="dxa"/>
            <w:gridSpan w:val="3"/>
            <w:noWrap w:val="0"/>
            <w:vAlign w:val="center"/>
          </w:tcPr>
          <w:p>
            <w:pPr>
              <w:spacing w:line="240" w:lineRule="exact"/>
              <w:jc w:val="center"/>
              <w:rPr>
                <w:rFonts w:hint="default" w:ascii="宋体" w:hAnsi="宋体" w:eastAsia="宋体" w:cs="宋体"/>
                <w:color w:val="auto"/>
                <w:sz w:val="21"/>
                <w:szCs w:val="21"/>
                <w:lang w:val="en-US" w:eastAsia="zh-CN" w:bidi="zh-CN"/>
              </w:rPr>
            </w:pPr>
            <w:r>
              <w:rPr>
                <w:rFonts w:hint="eastAsia"/>
                <w:bCs/>
                <w:sz w:val="21"/>
                <w:szCs w:val="21"/>
                <w:lang w:val="zh-CN"/>
              </w:rPr>
              <w:t>昆明公交集团有限责任公司</w:t>
            </w:r>
            <w:r>
              <w:rPr>
                <w:rFonts w:hint="eastAsia" w:ascii="宋体" w:hAnsi="宋体" w:cs="宋体"/>
                <w:color w:val="auto"/>
                <w:sz w:val="21"/>
                <w:szCs w:val="21"/>
                <w:lang w:val="zh-CN" w:eastAsia="zh-CN" w:bidi="zh-CN"/>
              </w:rPr>
              <w:t>法务部</w:t>
            </w:r>
            <w:r>
              <w:rPr>
                <w:rFonts w:hint="eastAsia" w:ascii="宋体" w:hAnsi="宋体" w:cs="宋体"/>
                <w:color w:val="auto"/>
                <w:sz w:val="21"/>
                <w:szCs w:val="21"/>
                <w:lang w:val="en-US" w:eastAsia="zh-CN" w:bidi="zh-CN"/>
              </w:rPr>
              <w:t xml:space="preserve">  0871-63112627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开标时间</w:t>
            </w:r>
          </w:p>
        </w:tc>
        <w:tc>
          <w:tcPr>
            <w:tcW w:w="5100" w:type="dxa"/>
            <w:gridSpan w:val="4"/>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7</w:t>
            </w:r>
            <w:r>
              <w:rPr>
                <w:rFonts w:hint="eastAsia" w:ascii="宋体" w:hAnsi="宋体"/>
                <w:sz w:val="21"/>
                <w:szCs w:val="21"/>
              </w:rPr>
              <w:t>月</w:t>
            </w:r>
            <w:r>
              <w:rPr>
                <w:rFonts w:hint="eastAsia" w:ascii="宋体" w:hAnsi="宋体"/>
                <w:sz w:val="21"/>
                <w:szCs w:val="21"/>
                <w:lang w:val="en-US" w:eastAsia="zh-CN"/>
              </w:rPr>
              <w:t>5</w:t>
            </w:r>
            <w:r>
              <w:rPr>
                <w:rFonts w:hint="eastAsia" w:ascii="宋体" w:hAnsi="宋体" w:cs="宋体"/>
                <w:color w:val="auto"/>
                <w:sz w:val="21"/>
                <w:szCs w:val="21"/>
                <w:lang w:val="zh-CN" w:eastAsia="zh-CN" w:bidi="zh-CN"/>
              </w:rPr>
              <w:t>日</w:t>
            </w:r>
            <w:r>
              <w:rPr>
                <w:rFonts w:hint="eastAsia" w:ascii="宋体" w:hAnsi="宋体" w:cs="宋体"/>
                <w:color w:val="auto"/>
                <w:sz w:val="21"/>
                <w:szCs w:val="21"/>
                <w:lang w:val="en-US" w:eastAsia="zh-CN" w:bidi="zh-CN"/>
              </w:rPr>
              <w:t>14</w:t>
            </w:r>
            <w:r>
              <w:rPr>
                <w:rFonts w:hint="eastAsia" w:ascii="宋体" w:hAnsi="宋体" w:cs="宋体"/>
                <w:color w:val="auto"/>
                <w:sz w:val="21"/>
                <w:szCs w:val="21"/>
                <w:lang w:val="zh-CN" w:eastAsia="zh-CN" w:bidi="zh-CN"/>
              </w:rPr>
              <w:t>时</w:t>
            </w:r>
            <w:r>
              <w:rPr>
                <w:rFonts w:hint="eastAsia" w:ascii="宋体" w:hAnsi="宋体" w:cs="宋体"/>
                <w:color w:val="auto"/>
                <w:sz w:val="21"/>
                <w:szCs w:val="21"/>
                <w:lang w:val="en-US" w:eastAsia="zh-CN" w:bidi="zh-CN"/>
              </w:rPr>
              <w:t>00</w:t>
            </w:r>
            <w:r>
              <w:rPr>
                <w:rFonts w:hint="eastAsia" w:ascii="宋体" w:hAnsi="宋体" w:cs="宋体"/>
                <w:color w:val="auto"/>
                <w:sz w:val="21"/>
                <w:szCs w:val="21"/>
                <w:lang w:val="zh-CN" w:eastAsia="zh-CN" w:bidi="zh-CN"/>
              </w:rPr>
              <w:t>分</w:t>
            </w:r>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开标地点</w:t>
            </w:r>
          </w:p>
        </w:tc>
        <w:tc>
          <w:tcPr>
            <w:tcW w:w="5829"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Cs w:val="21"/>
              </w:rPr>
              <w:t>昆明市五华区霖雨路146-148号昆明公交集团有限责任公司6楼会议室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jc w:val="center"/>
        </w:trPr>
        <w:tc>
          <w:tcPr>
            <w:tcW w:w="2312" w:type="dxa"/>
            <w:gridSpan w:val="2"/>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招标方式</w:t>
            </w:r>
          </w:p>
        </w:tc>
        <w:tc>
          <w:tcPr>
            <w:tcW w:w="5100" w:type="dxa"/>
            <w:gridSpan w:val="4"/>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公开招标</w:t>
            </w:r>
          </w:p>
        </w:tc>
        <w:tc>
          <w:tcPr>
            <w:tcW w:w="2863" w:type="dxa"/>
            <w:gridSpan w:val="2"/>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评标办法</w:t>
            </w:r>
          </w:p>
        </w:tc>
        <w:tc>
          <w:tcPr>
            <w:tcW w:w="5829"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12" w:type="dxa"/>
            <w:gridSpan w:val="2"/>
            <w:vMerge w:val="restart"/>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中标人名称</w:t>
            </w:r>
          </w:p>
        </w:tc>
        <w:tc>
          <w:tcPr>
            <w:tcW w:w="4635" w:type="dxa"/>
            <w:gridSpan w:val="3"/>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zh-CN" w:bidi="zh-CN"/>
              </w:rPr>
            </w:pPr>
            <w:r>
              <w:rPr>
                <w:rFonts w:hint="eastAsia" w:ascii="宋体" w:hAnsi="宋体" w:eastAsia="宋体" w:cs="宋体"/>
                <w:i w:val="0"/>
                <w:color w:val="000000"/>
                <w:kern w:val="0"/>
                <w:sz w:val="21"/>
                <w:szCs w:val="21"/>
                <w:u w:val="none"/>
                <w:lang w:val="en-US" w:eastAsia="zh-CN" w:bidi="ar"/>
              </w:rPr>
              <w:t>计费额度（万元）</w:t>
            </w:r>
          </w:p>
        </w:tc>
        <w:tc>
          <w:tcPr>
            <w:tcW w:w="2782" w:type="dxa"/>
            <w:gridSpan w:val="2"/>
            <w:noWrap w:val="0"/>
            <w:vAlign w:val="center"/>
          </w:tcPr>
          <w:p>
            <w:pPr>
              <w:spacing w:line="240" w:lineRule="exact"/>
              <w:jc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1"/>
                <w:szCs w:val="21"/>
                <w:u w:val="none"/>
                <w:lang w:val="en-US" w:eastAsia="zh-CN" w:bidi="ar"/>
              </w:rPr>
              <w:t>计费额度（万元）</w:t>
            </w:r>
          </w:p>
        </w:tc>
        <w:tc>
          <w:tcPr>
            <w:tcW w:w="2346" w:type="dxa"/>
            <w:gridSpan w:val="2"/>
            <w:vMerge w:val="restart"/>
            <w:noWrap w:val="0"/>
            <w:vAlign w:val="center"/>
          </w:tcPr>
          <w:p>
            <w:pPr>
              <w:keepNext w:val="0"/>
              <w:keepLines w:val="0"/>
              <w:widowControl/>
              <w:suppressLineNumbers w:val="0"/>
              <w:jc w:val="center"/>
              <w:textAlignment w:val="center"/>
              <w:rPr>
                <w:rFonts w:hint="eastAsia" w:ascii="宋体" w:hAnsi="宋体" w:cs="宋体"/>
                <w:color w:val="auto"/>
                <w:sz w:val="21"/>
                <w:szCs w:val="21"/>
                <w:lang w:val="zh-CN" w:bidi="zh-CN"/>
              </w:rPr>
            </w:pPr>
            <w:r>
              <w:rPr>
                <w:rFonts w:hint="eastAsia" w:ascii="宋体" w:hAnsi="宋体" w:eastAsia="宋体" w:cs="宋体"/>
                <w:i w:val="0"/>
                <w:color w:val="000000"/>
                <w:kern w:val="0"/>
                <w:sz w:val="21"/>
                <w:szCs w:val="21"/>
                <w:u w:val="none"/>
                <w:lang w:val="en-US" w:eastAsia="zh-CN" w:bidi="ar"/>
              </w:rPr>
              <w:t>服务承诺</w:t>
            </w:r>
          </w:p>
        </w:tc>
        <w:tc>
          <w:tcPr>
            <w:tcW w:w="2809" w:type="dxa"/>
            <w:vMerge w:val="restart"/>
            <w:noWrap w:val="0"/>
            <w:vAlign w:val="center"/>
          </w:tcPr>
          <w:p>
            <w:pPr>
              <w:spacing w:line="240" w:lineRule="exact"/>
              <w:jc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1"/>
                <w:szCs w:val="21"/>
                <w:u w:val="none"/>
                <w:lang w:val="en-US" w:eastAsia="zh-CN" w:bidi="ar"/>
              </w:rPr>
              <w:t>服务期限</w:t>
            </w:r>
          </w:p>
        </w:tc>
        <w:tc>
          <w:tcPr>
            <w:tcW w:w="1220" w:type="dxa"/>
            <w:vMerge w:val="restart"/>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zh-CN" w:eastAsia="zh-CN" w:bidi="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312" w:type="dxa"/>
            <w:gridSpan w:val="2"/>
            <w:vMerge w:val="continue"/>
            <w:noWrap w:val="0"/>
            <w:vAlign w:val="center"/>
          </w:tcPr>
          <w:p>
            <w:pPr>
              <w:spacing w:line="240" w:lineRule="exact"/>
              <w:jc w:val="center"/>
              <w:rPr>
                <w:sz w:val="21"/>
                <w:szCs w:val="21"/>
              </w:rPr>
            </w:pPr>
          </w:p>
        </w:tc>
        <w:tc>
          <w:tcPr>
            <w:tcW w:w="2385" w:type="dxa"/>
            <w:tcBorders>
              <w:bottom w:val="single" w:color="auto" w:sz="4" w:space="0"/>
            </w:tcBorders>
            <w:noWrap w:val="0"/>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color w:val="000000"/>
                <w:kern w:val="0"/>
                <w:sz w:val="21"/>
                <w:szCs w:val="21"/>
                <w:u w:val="none"/>
                <w:lang w:val="en-US" w:eastAsia="zh-CN" w:bidi="ar"/>
              </w:rPr>
              <w:t>100以下（含100）</w:t>
            </w:r>
          </w:p>
        </w:tc>
        <w:tc>
          <w:tcPr>
            <w:tcW w:w="2250" w:type="dxa"/>
            <w:gridSpan w:val="2"/>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zh-CN" w:bidi="zh-CN"/>
              </w:rPr>
            </w:pPr>
            <w:r>
              <w:rPr>
                <w:rFonts w:hint="eastAsia" w:ascii="宋体" w:hAnsi="宋体" w:eastAsia="宋体" w:cs="宋体"/>
                <w:i w:val="0"/>
                <w:color w:val="000000"/>
                <w:kern w:val="0"/>
                <w:sz w:val="21"/>
                <w:szCs w:val="21"/>
                <w:u w:val="none"/>
                <w:lang w:val="en-US" w:eastAsia="zh-CN" w:bidi="ar"/>
              </w:rPr>
              <w:t>100以上-700</w:t>
            </w:r>
          </w:p>
        </w:tc>
        <w:tc>
          <w:tcPr>
            <w:tcW w:w="2782" w:type="dxa"/>
            <w:gridSpan w:val="2"/>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eastAsia="宋体" w:cs="宋体"/>
                <w:i w:val="0"/>
                <w:color w:val="000000"/>
                <w:kern w:val="0"/>
                <w:sz w:val="21"/>
                <w:szCs w:val="21"/>
                <w:u w:val="none"/>
                <w:lang w:val="en-US" w:eastAsia="zh-CN" w:bidi="ar"/>
              </w:rPr>
              <w:t>700（含）以上</w:t>
            </w:r>
          </w:p>
        </w:tc>
        <w:tc>
          <w:tcPr>
            <w:tcW w:w="2346" w:type="dxa"/>
            <w:gridSpan w:val="2"/>
            <w:vMerge w:val="continue"/>
            <w:noWrap w:val="0"/>
            <w:vAlign w:val="center"/>
          </w:tcPr>
          <w:p>
            <w:pPr>
              <w:spacing w:line="240" w:lineRule="exact"/>
              <w:jc w:val="center"/>
              <w:rPr>
                <w:rFonts w:hint="eastAsia" w:ascii="宋体" w:hAnsi="宋体" w:cs="宋体"/>
                <w:color w:val="auto"/>
                <w:sz w:val="21"/>
                <w:szCs w:val="21"/>
                <w:lang w:val="zh-CN" w:bidi="zh-CN"/>
              </w:rPr>
            </w:pPr>
          </w:p>
        </w:tc>
        <w:tc>
          <w:tcPr>
            <w:tcW w:w="2809" w:type="dxa"/>
            <w:vMerge w:val="continue"/>
            <w:noWrap w:val="0"/>
            <w:vAlign w:val="center"/>
          </w:tcPr>
          <w:p>
            <w:pPr>
              <w:spacing w:line="240" w:lineRule="exact"/>
              <w:jc w:val="center"/>
              <w:rPr>
                <w:rFonts w:hint="eastAsia" w:ascii="宋体" w:hAnsi="宋体" w:cs="宋体"/>
                <w:color w:val="auto"/>
                <w:sz w:val="21"/>
                <w:szCs w:val="21"/>
                <w:lang w:val="zh-CN" w:bidi="zh-CN"/>
              </w:rPr>
            </w:pPr>
          </w:p>
        </w:tc>
        <w:tc>
          <w:tcPr>
            <w:tcW w:w="1220" w:type="dxa"/>
            <w:vMerge w:val="continue"/>
            <w:noWrap w:val="0"/>
            <w:vAlign w:val="center"/>
          </w:tcPr>
          <w:p>
            <w:pPr>
              <w:spacing w:line="240" w:lineRule="exact"/>
              <w:jc w:val="center"/>
              <w:rPr>
                <w:rFonts w:hint="eastAsia" w:ascii="宋体" w:hAnsi="宋体" w:cs="宋体"/>
                <w:color w:val="auto"/>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312" w:type="dxa"/>
            <w:gridSpan w:val="2"/>
            <w:vMerge w:val="continue"/>
            <w:noWrap w:val="0"/>
            <w:vAlign w:val="center"/>
          </w:tcPr>
          <w:p>
            <w:pPr>
              <w:spacing w:line="240" w:lineRule="exact"/>
              <w:jc w:val="center"/>
              <w:rPr>
                <w:rFonts w:hint="eastAsia" w:ascii="宋体" w:hAnsi="宋体" w:cs="宋体"/>
                <w:color w:val="auto"/>
                <w:sz w:val="21"/>
                <w:szCs w:val="21"/>
                <w:lang w:val="zh-CN" w:bidi="zh-CN"/>
              </w:rPr>
            </w:pPr>
          </w:p>
        </w:tc>
        <w:tc>
          <w:tcPr>
            <w:tcW w:w="4635" w:type="dxa"/>
            <w:gridSpan w:val="3"/>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zh-CN" w:bidi="zh-CN"/>
              </w:rPr>
            </w:pPr>
            <w:r>
              <w:rPr>
                <w:rFonts w:hint="eastAsia" w:ascii="宋体" w:hAnsi="宋体" w:eastAsia="宋体" w:cs="宋体"/>
                <w:i w:val="0"/>
                <w:color w:val="000000"/>
                <w:kern w:val="0"/>
                <w:sz w:val="21"/>
                <w:szCs w:val="21"/>
                <w:u w:val="none"/>
                <w:lang w:val="en-US" w:eastAsia="zh-CN" w:bidi="ar"/>
              </w:rPr>
              <w:t>差额计费率</w:t>
            </w:r>
          </w:p>
        </w:tc>
        <w:tc>
          <w:tcPr>
            <w:tcW w:w="2782" w:type="dxa"/>
            <w:gridSpan w:val="2"/>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eastAsia="宋体" w:cs="宋体"/>
                <w:i w:val="0"/>
                <w:color w:val="000000"/>
                <w:kern w:val="0"/>
                <w:sz w:val="21"/>
                <w:szCs w:val="21"/>
                <w:u w:val="none"/>
                <w:lang w:val="en-US" w:eastAsia="zh-CN" w:bidi="ar"/>
              </w:rPr>
              <w:t>投标报价</w:t>
            </w:r>
          </w:p>
        </w:tc>
        <w:tc>
          <w:tcPr>
            <w:tcW w:w="2346" w:type="dxa"/>
            <w:gridSpan w:val="2"/>
            <w:vMerge w:val="continue"/>
            <w:noWrap w:val="0"/>
            <w:vAlign w:val="center"/>
          </w:tcPr>
          <w:p>
            <w:pPr>
              <w:spacing w:line="240" w:lineRule="exact"/>
              <w:jc w:val="center"/>
              <w:rPr>
                <w:rFonts w:hint="eastAsia" w:ascii="宋体" w:hAnsi="宋体" w:cs="宋体"/>
                <w:color w:val="auto"/>
                <w:sz w:val="21"/>
                <w:szCs w:val="21"/>
                <w:lang w:val="zh-CN" w:bidi="zh-CN"/>
              </w:rPr>
            </w:pPr>
          </w:p>
        </w:tc>
        <w:tc>
          <w:tcPr>
            <w:tcW w:w="2809" w:type="dxa"/>
            <w:vMerge w:val="continue"/>
            <w:noWrap w:val="0"/>
            <w:vAlign w:val="center"/>
          </w:tcPr>
          <w:p>
            <w:pPr>
              <w:spacing w:line="240" w:lineRule="exact"/>
              <w:jc w:val="center"/>
              <w:rPr>
                <w:rFonts w:hint="eastAsia" w:ascii="宋体" w:hAnsi="宋体" w:cs="宋体"/>
                <w:color w:val="auto"/>
                <w:sz w:val="21"/>
                <w:szCs w:val="21"/>
                <w:lang w:val="zh-CN" w:bidi="zh-CN"/>
              </w:rPr>
            </w:pPr>
          </w:p>
        </w:tc>
        <w:tc>
          <w:tcPr>
            <w:tcW w:w="1220" w:type="dxa"/>
            <w:vMerge w:val="continue"/>
            <w:noWrap w:val="0"/>
            <w:vAlign w:val="center"/>
          </w:tcPr>
          <w:p>
            <w:pPr>
              <w:spacing w:line="240" w:lineRule="exact"/>
              <w:jc w:val="center"/>
              <w:rPr>
                <w:rFonts w:hint="eastAsia" w:ascii="宋体" w:hAnsi="宋体" w:cs="宋体"/>
                <w:color w:val="auto"/>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2312" w:type="dxa"/>
            <w:gridSpan w:val="2"/>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昆明信联资产评估有限公司</w:t>
            </w:r>
          </w:p>
        </w:tc>
        <w:tc>
          <w:tcPr>
            <w:tcW w:w="238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6.3‰</w:t>
            </w:r>
          </w:p>
        </w:tc>
        <w:tc>
          <w:tcPr>
            <w:tcW w:w="2250" w:type="dxa"/>
            <w:gridSpan w:val="2"/>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2.625‰</w:t>
            </w:r>
          </w:p>
        </w:tc>
        <w:tc>
          <w:tcPr>
            <w:tcW w:w="2782" w:type="dxa"/>
            <w:gridSpan w:val="2"/>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2.10万元</w:t>
            </w:r>
          </w:p>
        </w:tc>
        <w:tc>
          <w:tcPr>
            <w:tcW w:w="2346" w:type="dxa"/>
            <w:gridSpan w:val="2"/>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2809"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两年</w:t>
            </w:r>
          </w:p>
        </w:tc>
        <w:tc>
          <w:tcPr>
            <w:tcW w:w="1220"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6104" w:type="dxa"/>
            <w:gridSpan w:val="11"/>
            <w:noWrap w:val="0"/>
            <w:vAlign w:val="center"/>
          </w:tcPr>
          <w:p>
            <w:pPr>
              <w:keepNext w:val="0"/>
              <w:keepLines w:val="0"/>
              <w:widowControl/>
              <w:suppressLineNumbers w:val="0"/>
              <w:jc w:val="both"/>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企业业绩：1、云南建投建筑机械有限公司为完善资产管理事项所涉及的位于昆明市五里多农博广场相关资产的市场租金资产评估；2、云南建投第二安装工程公司为完善资产管理事项所涉及的位于昆明市虹山西路相关资产的市场租金评估；3、中国船舶重工集团公司七五○试验场拟与云南怡达实业有限公司进行昆明船舶酒店经营权交接事项所涉及的昆明船舶酒店相关实物资产的市场价值；4、云南张峰服饰有限公司拟用实物资产抵偿云南金马集团光明实业有限责任公司部分债务事项所涉及的云南张峰服饰有限公司相关实物资产的市场价值评估；5、昆明公交集团有限责任公司拟将部分公交车车身广告位经营权对外招租事项所涉及的车身广告位经营权租赁价格的市场价值资产评估；6、昆明公共自行车运营管理有限公司拟收购杭州金通公共自行车科技股份有限公司呈贡区公共自行车服务站点事项所涉及的相关资产的市场价值资产评估；7、中国人民解放军31634部队终止出租部分土地事项所涉及的相关损失权益市场价值资产评估；8、为西双版纳旅游度假区管理委员会因城市道路建设事项所涉及的两家单位位于南联山农场附近的苗木基地损失权益的市场价值资产评估；9、因昆明螺蛳湾国悦置地有限公司拟进行股权重组事项所涉及的股东全部权益的市场价值资产评估；10、云南乍甸乳业有限责任公司拟用龙江先生名下位于大理州云龙县的森林资源资产抵押贷款事项所涉及的林木所有权及林地使用权的市场价值资产评估；11、因昆明誉明投资开发有限公司与昆明凤仪大酒店管理有限公司拟修改租赁合同事项所涉及的相关房地产的市场租金价值资产评估；12、云南鼎福房地产开发有限责任公司因拟进行股权变更事项所涉及的股东全部权益的市场价值资产评估；13、昆明公共自行车运营管理有限公司拟收购杭州金通公共自行车科技股份有限公司呈贡新区公共自行车服务站点事项所涉及的相关设施的市场价值资产评估；14、因昆明公交集团有限责任公司的部分商铺租赁期限到期事项所涉及相关商铺租金的市场价值资产评估；15、昆明公交集团有限责任公司对晋宁县滇骏城乡公交有限公司进行投资事项所涉及的相关车辆的市场价值资产评估；16、西双版纳绿色家园农业发展有限公司拟用位于西双版纳州勐海县勐宋乡三迈村的森林资源资产抵押贷款事项所涉及的相关林地使用权及林木所有权的市场价值资产评估；17、云南省国有资本运营有限公司拟用云南省国有资本运营金控有限公司的股权进行股权置换事项所涉及的云南省国有资本运营金控有限公司股东全部权益的市场价值；18、澜沧县国有资产经营有限责任公司因澜沧县芭蕉林木材交易中心19家企业迁出事项所涉及相关损失权益评估；19、红河州人民政府拟无偿划转州级单位个旧地区资产事项所涉及的红河州十号楼宾馆净资产市场价值资产评估；20、武定中医院拟进行优化管理事项所涉及的武定中医院股东全部权益市场价值资产评估；21、勐海欣盛城乡投资开发有限公司拟进行增资扩股事项所涉及的股东全部权益的市场价值资产评估；22、西双版纳旅游度假区南联山农场管理委员会因政府征用土地，需与景洪锦秀园林有限责任公司解除租地协议事项，所涉及的景洪锦秀园林有限责任公司林木搬迁损失权益资产评估；23、昆明德和罐头食品有限责任公司因股权变更行为个人所得税核查事项所涉及的相关建筑物及土地使用权市场价值资产评估；24、贵州东城明珠综合休闲管理有限责任公司拟进行股权变更事项所涉及的股东全部权益的市场价值资产评估；25、励德教育科技（云南）有限公司因税收核查事项所涉及的股东全部权益的市场价值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2312" w:type="dxa"/>
            <w:gridSpan w:val="2"/>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18"/>
                <w:szCs w:val="18"/>
                <w:u w:val="none"/>
                <w:lang w:val="en-US" w:eastAsia="zh-CN" w:bidi="ar"/>
              </w:rPr>
              <w:t>云南永盛资产评估有限公司</w:t>
            </w:r>
          </w:p>
        </w:tc>
        <w:tc>
          <w:tcPr>
            <w:tcW w:w="2385" w:type="dxa"/>
            <w:tcBorders>
              <w:top w:val="nil"/>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18"/>
                <w:szCs w:val="18"/>
                <w:u w:val="none"/>
                <w:lang w:val="en-US" w:eastAsia="zh-CN" w:bidi="ar"/>
              </w:rPr>
              <w:t>8.8</w:t>
            </w:r>
          </w:p>
        </w:tc>
        <w:tc>
          <w:tcPr>
            <w:tcW w:w="2250" w:type="dxa"/>
            <w:gridSpan w:val="2"/>
            <w:tcBorders>
              <w:top w:val="nil"/>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18"/>
                <w:szCs w:val="18"/>
                <w:u w:val="none"/>
                <w:lang w:val="en-US" w:eastAsia="zh-CN" w:bidi="ar"/>
              </w:rPr>
              <w:t>0.75</w:t>
            </w:r>
          </w:p>
        </w:tc>
        <w:tc>
          <w:tcPr>
            <w:tcW w:w="2782" w:type="dxa"/>
            <w:gridSpan w:val="2"/>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18"/>
                <w:szCs w:val="18"/>
                <w:u w:val="none"/>
                <w:lang w:val="en-US" w:eastAsia="zh-CN" w:bidi="ar"/>
              </w:rPr>
              <w:t>1.2万元</w:t>
            </w:r>
          </w:p>
        </w:tc>
        <w:tc>
          <w:tcPr>
            <w:tcW w:w="2346" w:type="dxa"/>
            <w:gridSpan w:val="2"/>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18"/>
                <w:szCs w:val="18"/>
                <w:u w:val="none"/>
                <w:lang w:val="en-US" w:eastAsia="zh-CN" w:bidi="ar"/>
              </w:rPr>
              <w:t>详见投标文件</w:t>
            </w:r>
          </w:p>
        </w:tc>
        <w:tc>
          <w:tcPr>
            <w:tcW w:w="2809"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18"/>
                <w:szCs w:val="18"/>
                <w:u w:val="none"/>
                <w:lang w:val="en-US" w:eastAsia="zh-CN" w:bidi="ar"/>
              </w:rPr>
              <w:t>2年</w:t>
            </w:r>
          </w:p>
        </w:tc>
        <w:tc>
          <w:tcPr>
            <w:tcW w:w="1220"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6104" w:type="dxa"/>
            <w:gridSpan w:val="11"/>
            <w:noWrap w:val="0"/>
            <w:vAlign w:val="center"/>
          </w:tcPr>
          <w:p>
            <w:pPr>
              <w:keepNext w:val="0"/>
              <w:keepLines w:val="0"/>
              <w:widowControl/>
              <w:suppressLineNumbers w:val="0"/>
              <w:jc w:val="both"/>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企业业绩：1、云南省城市建设投资集团有限公司拟处置其持有的楚雄兴彝村镇银行股份有限公司股权项目；2、大理白族自治州公安局拟处置其在“8.08”非法买卖运输制毒物品案中缴获的乙酸乙酯和二氯甲烷评估项目；3、云南机场集团有限公司拟对下属子公司云南机场建设发展有限公司进行混合所制作改革项目；4、云南省城市建设投资集团有限公司拟处置其持有的昆明呈贡华夏村镇银行股份有限公司10%股权所涉及的股东全部权益价值评估项目；5、云南省国有资本运营有限公司拟受让云南煤化工集团有限公司所持有云南招标股份有限公司12.5%的股权所涉及股东全部权益价值评估项目；6、云南恒安电力工程有限公司拟了解镇康县恒晟水电开发有限责任公司三座水电站资产价值评估项目；7、云南力晨经济技术咨询有限公司拟转让其所持云南招标股份有限公司股权评估项目；8、广南县住房和城乡建设局污水处理厂厂区地上附着物资产评估项目；9、云南省资产管理有限公司拟投资购买屋顶县农村信用合作联社不良贷款资产提供价值咨询意见；10、开远市龙恒投资有限责任公司拟收购红河龙翼投资有限公司全部股权所涉及的红河龙翼投资有限公司股东全部权益价值评估；11、2016年弥勒市市级行政事业单位、国有企业国有资产市场价值评估咨询项目；12、中国石化销售有限公司云南分公司全部股权评估项目；13、云南能投中小水电投资有限公司全部股权评估；14、易门云铸工贸有限公司涉及武易高速（易门段）红线内相关资产征收补偿价值资产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2312" w:type="dxa"/>
            <w:gridSpan w:val="2"/>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昆明博扬资产评估有限公司</w:t>
            </w:r>
          </w:p>
        </w:tc>
        <w:tc>
          <w:tcPr>
            <w:tcW w:w="238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4.9‰</w:t>
            </w:r>
          </w:p>
        </w:tc>
        <w:tc>
          <w:tcPr>
            <w:tcW w:w="2250" w:type="dxa"/>
            <w:gridSpan w:val="2"/>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2.5‰</w:t>
            </w:r>
          </w:p>
        </w:tc>
        <w:tc>
          <w:tcPr>
            <w:tcW w:w="2782" w:type="dxa"/>
            <w:gridSpan w:val="2"/>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2.49万元</w:t>
            </w:r>
          </w:p>
        </w:tc>
        <w:tc>
          <w:tcPr>
            <w:tcW w:w="2346" w:type="dxa"/>
            <w:gridSpan w:val="2"/>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2809"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详见投标文件</w:t>
            </w:r>
          </w:p>
        </w:tc>
        <w:tc>
          <w:tcPr>
            <w:tcW w:w="1220" w:type="dxa"/>
            <w:noWrap w:val="0"/>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64.22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16104" w:type="dxa"/>
            <w:gridSpan w:val="11"/>
            <w:noWrap w:val="0"/>
            <w:vAlign w:val="center"/>
          </w:tcPr>
          <w:p>
            <w:pPr>
              <w:keepNext w:val="0"/>
              <w:keepLines w:val="0"/>
              <w:widowControl/>
              <w:suppressLineNumbers w:val="0"/>
              <w:jc w:val="both"/>
              <w:textAlignment w:val="center"/>
              <w:rPr>
                <w:rFonts w:hint="eastAsia" w:ascii="宋体" w:hAnsi="宋体" w:cs="宋体"/>
                <w:color w:val="auto"/>
                <w:sz w:val="21"/>
                <w:szCs w:val="21"/>
                <w:lang w:val="en-US" w:eastAsia="zh-CN" w:bidi="zh-CN"/>
              </w:rPr>
            </w:pPr>
            <w:r>
              <w:rPr>
                <w:rFonts w:hint="eastAsia" w:ascii="宋体" w:hAnsi="宋体" w:eastAsia="宋体" w:cs="宋体"/>
                <w:i w:val="0"/>
                <w:color w:val="000000"/>
                <w:kern w:val="0"/>
                <w:sz w:val="20"/>
                <w:szCs w:val="20"/>
                <w:u w:val="none"/>
                <w:lang w:val="en-US" w:eastAsia="zh-CN" w:bidi="ar"/>
              </w:rPr>
              <w:t>企业业绩：1、昆明公交集团有限责任公司部分单层车车身广告资源价值费用评估；2、昆明公交集团有限责任公司部分双层车车身广告资源价值费用评估；3、昆明公交集团有限责任公司部份公交候车亭资源价值选聘评估公司项目；4、昆明公交集团有限责任公司部分公交候车亭广告资源价值评估招标项目；5、昆明公交集团大楼中信银行商铺及东部公交枢纽站商铺招租底价评估项目；6、2012年市级统建铭惠园及吉惠园保障房项目配建商业物业和幼儿园拟公开招租资产租金价值评估；7、昆明市城建投资开发有限责任公司拟出租巫家坝片区地块招租底价评估项目；8、昆明市公共租赁住房开发建设管理有限公司子君村保障房项目配建商业物业、银河保障房项目配建商业物业及社区配套用房拟公开招租项目的资产租金价值评估；9、昆明博欣彩莲湾商铺及写字楼价值评估项目；10、农投公司所属614亩国有土地内未拆除建（构）筑物净残值评估项目；11、昆明盛世晨农农业发展股份有限公司整体资产评估项目；12、拟出租昆明市西山区团结乡街道办事处和平社区居民委员会和平居民小组批发零售用地（即团结乡加油站地块）招租底价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16104" w:type="dxa"/>
            <w:gridSpan w:val="11"/>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en-US" w:eastAsia="zh-CN" w:bidi="zh-CN"/>
              </w:rPr>
              <w:t>评标专家名单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1933"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en-US" w:eastAsia="zh-CN" w:bidi="zh-CN"/>
              </w:rPr>
              <w:t>序号</w:t>
            </w:r>
          </w:p>
        </w:tc>
        <w:tc>
          <w:tcPr>
            <w:tcW w:w="4101" w:type="dxa"/>
            <w:gridSpan w:val="3"/>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en-US" w:eastAsia="zh-CN" w:bidi="zh-CN"/>
              </w:rPr>
              <w:t>专家姓名</w:t>
            </w:r>
          </w:p>
        </w:tc>
        <w:tc>
          <w:tcPr>
            <w:tcW w:w="10070" w:type="dxa"/>
            <w:gridSpan w:val="7"/>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en-US" w:eastAsia="zh-CN" w:bidi="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1933"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en-US" w:eastAsia="zh-CN" w:bidi="zh-CN"/>
              </w:rPr>
              <w:t>1</w:t>
            </w:r>
          </w:p>
        </w:tc>
        <w:tc>
          <w:tcPr>
            <w:tcW w:w="4101" w:type="dxa"/>
            <w:gridSpan w:val="3"/>
            <w:noWrap w:val="0"/>
            <w:vAlign w:val="center"/>
          </w:tcPr>
          <w:p>
            <w:pPr>
              <w:spacing w:line="400" w:lineRule="exact"/>
              <w:jc w:val="center"/>
              <w:rPr>
                <w:rFonts w:hint="eastAsia" w:ascii="宋体" w:hAnsi="宋体" w:cs="宋体"/>
                <w:color w:val="auto"/>
                <w:sz w:val="21"/>
                <w:szCs w:val="21"/>
                <w:lang w:val="zh-CN" w:eastAsia="zh-CN" w:bidi="zh-CN"/>
              </w:rPr>
            </w:pPr>
            <w:r>
              <w:rPr>
                <w:rFonts w:hint="eastAsia" w:ascii="宋体" w:hAnsi="宋体" w:eastAsia="宋体" w:cs="宋体"/>
                <w:spacing w:val="6"/>
                <w:lang w:eastAsia="zh-CN"/>
              </w:rPr>
              <w:t>贾勇</w:t>
            </w:r>
          </w:p>
        </w:tc>
        <w:tc>
          <w:tcPr>
            <w:tcW w:w="10070" w:type="dxa"/>
            <w:gridSpan w:val="7"/>
            <w:noWrap w:val="0"/>
            <w:vAlign w:val="center"/>
          </w:tcPr>
          <w:p>
            <w:pPr>
              <w:spacing w:line="400" w:lineRule="exact"/>
              <w:jc w:val="center"/>
              <w:rPr>
                <w:rFonts w:hint="eastAsia" w:ascii="宋体" w:hAnsi="宋体" w:cs="宋体"/>
                <w:color w:val="auto"/>
                <w:sz w:val="21"/>
                <w:szCs w:val="21"/>
                <w:lang w:val="zh-CN" w:eastAsia="zh-CN" w:bidi="zh-CN"/>
              </w:rPr>
            </w:pPr>
            <w:r>
              <w:rPr>
                <w:rFonts w:hint="eastAsia" w:ascii="宋体" w:hAnsi="宋体" w:eastAsia="宋体" w:cs="宋体"/>
                <w:spacing w:val="6"/>
                <w:lang w:eastAsia="zh-CN"/>
              </w:rPr>
              <w:t>滇中审计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1933"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en-US" w:eastAsia="zh-CN" w:bidi="zh-CN"/>
              </w:rPr>
              <w:t>2</w:t>
            </w:r>
          </w:p>
        </w:tc>
        <w:tc>
          <w:tcPr>
            <w:tcW w:w="4101" w:type="dxa"/>
            <w:gridSpan w:val="3"/>
            <w:noWrap w:val="0"/>
            <w:vAlign w:val="center"/>
          </w:tcPr>
          <w:p>
            <w:pPr>
              <w:spacing w:line="400" w:lineRule="exact"/>
              <w:jc w:val="center"/>
              <w:rPr>
                <w:rFonts w:hint="eastAsia" w:ascii="宋体" w:hAnsi="宋体" w:cs="宋体"/>
                <w:color w:val="auto"/>
                <w:sz w:val="21"/>
                <w:szCs w:val="21"/>
                <w:lang w:val="zh-CN" w:eastAsia="zh-CN" w:bidi="zh-CN"/>
              </w:rPr>
            </w:pPr>
            <w:r>
              <w:rPr>
                <w:rFonts w:hint="eastAsia" w:ascii="宋体" w:hAnsi="宋体" w:eastAsia="宋体" w:cs="宋体"/>
                <w:spacing w:val="6"/>
                <w:lang w:eastAsia="zh-CN"/>
              </w:rPr>
              <w:t>王惠萍</w:t>
            </w:r>
          </w:p>
        </w:tc>
        <w:tc>
          <w:tcPr>
            <w:tcW w:w="10070" w:type="dxa"/>
            <w:gridSpan w:val="7"/>
            <w:noWrap w:val="0"/>
            <w:vAlign w:val="center"/>
          </w:tcPr>
          <w:p>
            <w:pPr>
              <w:spacing w:line="400" w:lineRule="exact"/>
              <w:jc w:val="center"/>
              <w:rPr>
                <w:rFonts w:hint="eastAsia" w:ascii="宋体" w:hAnsi="宋体" w:cs="宋体"/>
                <w:color w:val="auto"/>
                <w:sz w:val="21"/>
                <w:szCs w:val="21"/>
                <w:lang w:val="zh-CN" w:eastAsia="zh-CN" w:bidi="zh-CN"/>
              </w:rPr>
            </w:pPr>
            <w:r>
              <w:rPr>
                <w:rFonts w:hint="eastAsia" w:ascii="宋体" w:hAnsi="宋体" w:eastAsia="宋体" w:cs="宋体"/>
                <w:spacing w:val="6"/>
                <w:lang w:eastAsia="zh-CN"/>
              </w:rPr>
              <w:t>云天化中寮矿业投资公司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1933"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en-US" w:eastAsia="zh-CN" w:bidi="zh-CN"/>
              </w:rPr>
              <w:t>3</w:t>
            </w:r>
          </w:p>
        </w:tc>
        <w:tc>
          <w:tcPr>
            <w:tcW w:w="4101" w:type="dxa"/>
            <w:gridSpan w:val="3"/>
            <w:noWrap w:val="0"/>
            <w:vAlign w:val="center"/>
          </w:tcPr>
          <w:p>
            <w:pPr>
              <w:spacing w:line="400" w:lineRule="exact"/>
              <w:jc w:val="center"/>
              <w:rPr>
                <w:rFonts w:hint="eastAsia" w:ascii="宋体" w:hAnsi="宋体" w:cs="宋体"/>
                <w:color w:val="auto"/>
                <w:sz w:val="21"/>
                <w:szCs w:val="21"/>
                <w:lang w:val="zh-CN" w:eastAsia="zh-CN" w:bidi="zh-CN"/>
              </w:rPr>
            </w:pPr>
            <w:r>
              <w:rPr>
                <w:rFonts w:hint="eastAsia" w:ascii="宋体" w:hAnsi="宋体" w:eastAsia="宋体" w:cs="宋体"/>
                <w:spacing w:val="6"/>
                <w:lang w:eastAsia="zh-CN"/>
              </w:rPr>
              <w:t>陈晓秋</w:t>
            </w:r>
          </w:p>
        </w:tc>
        <w:tc>
          <w:tcPr>
            <w:tcW w:w="10070" w:type="dxa"/>
            <w:gridSpan w:val="7"/>
            <w:noWrap w:val="0"/>
            <w:vAlign w:val="center"/>
          </w:tcPr>
          <w:p>
            <w:pPr>
              <w:spacing w:line="400" w:lineRule="exact"/>
              <w:jc w:val="center"/>
              <w:rPr>
                <w:rFonts w:hint="eastAsia" w:ascii="宋体" w:hAnsi="宋体" w:cs="宋体"/>
                <w:color w:val="auto"/>
                <w:sz w:val="21"/>
                <w:szCs w:val="21"/>
                <w:lang w:val="zh-CN" w:eastAsia="zh-CN" w:bidi="zh-CN"/>
              </w:rPr>
            </w:pPr>
            <w:r>
              <w:rPr>
                <w:rFonts w:hint="eastAsia" w:ascii="宋体" w:hAnsi="宋体" w:eastAsia="宋体" w:cs="宋体"/>
                <w:spacing w:val="6"/>
                <w:lang w:eastAsia="zh-CN"/>
              </w:rPr>
              <w:t>云南觉晟企业管理有限公司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1933"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en-US" w:eastAsia="zh-CN" w:bidi="zh-CN"/>
              </w:rPr>
              <w:t>4</w:t>
            </w:r>
          </w:p>
        </w:tc>
        <w:tc>
          <w:tcPr>
            <w:tcW w:w="4101" w:type="dxa"/>
            <w:gridSpan w:val="3"/>
            <w:noWrap w:val="0"/>
            <w:vAlign w:val="center"/>
          </w:tcPr>
          <w:p>
            <w:pPr>
              <w:spacing w:line="400" w:lineRule="exact"/>
              <w:jc w:val="center"/>
              <w:rPr>
                <w:rFonts w:hint="eastAsia" w:ascii="宋体" w:hAnsi="宋体" w:cs="宋体"/>
                <w:color w:val="auto"/>
                <w:sz w:val="21"/>
                <w:szCs w:val="21"/>
                <w:lang w:val="zh-CN" w:eastAsia="zh-CN" w:bidi="zh-CN"/>
              </w:rPr>
            </w:pPr>
            <w:r>
              <w:rPr>
                <w:rFonts w:hint="eastAsia" w:ascii="宋体" w:hAnsi="宋体" w:eastAsia="宋体" w:cs="宋体"/>
                <w:spacing w:val="6"/>
                <w:lang w:eastAsia="zh-CN"/>
              </w:rPr>
              <w:t>袁崇坚</w:t>
            </w:r>
          </w:p>
        </w:tc>
        <w:tc>
          <w:tcPr>
            <w:tcW w:w="10070" w:type="dxa"/>
            <w:gridSpan w:val="7"/>
            <w:noWrap w:val="0"/>
            <w:vAlign w:val="center"/>
          </w:tcPr>
          <w:p>
            <w:pPr>
              <w:spacing w:line="400" w:lineRule="exact"/>
              <w:jc w:val="center"/>
              <w:rPr>
                <w:rFonts w:hint="eastAsia" w:ascii="宋体" w:hAnsi="宋体" w:cs="宋体"/>
                <w:color w:val="auto"/>
                <w:sz w:val="21"/>
                <w:szCs w:val="21"/>
                <w:lang w:val="zh-CN" w:eastAsia="zh-CN" w:bidi="zh-CN"/>
              </w:rPr>
            </w:pPr>
            <w:r>
              <w:rPr>
                <w:rFonts w:hint="eastAsia" w:ascii="宋体" w:hAnsi="宋体" w:eastAsia="宋体" w:cs="宋体"/>
                <w:spacing w:val="6"/>
                <w:lang w:eastAsia="zh-CN"/>
              </w:rPr>
              <w:t>云南大学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1933" w:type="dxa"/>
            <w:noWrap w:val="0"/>
            <w:vAlign w:val="center"/>
          </w:tcPr>
          <w:p>
            <w:pPr>
              <w:spacing w:line="240" w:lineRule="exact"/>
              <w:jc w:val="center"/>
              <w:rPr>
                <w:rFonts w:hint="eastAsia" w:ascii="宋体" w:hAnsi="宋体" w:cs="宋体"/>
                <w:color w:val="auto"/>
                <w:sz w:val="21"/>
                <w:szCs w:val="21"/>
                <w:lang w:val="zh-CN" w:eastAsia="zh-CN" w:bidi="zh-CN"/>
              </w:rPr>
            </w:pPr>
            <w:r>
              <w:rPr>
                <w:rFonts w:hint="eastAsia" w:ascii="宋体" w:hAnsi="宋体" w:cs="宋体"/>
                <w:color w:val="auto"/>
                <w:sz w:val="21"/>
                <w:szCs w:val="21"/>
                <w:lang w:val="en-US" w:eastAsia="zh-CN" w:bidi="zh-CN"/>
              </w:rPr>
              <w:t>5</w:t>
            </w:r>
          </w:p>
        </w:tc>
        <w:tc>
          <w:tcPr>
            <w:tcW w:w="4101" w:type="dxa"/>
            <w:gridSpan w:val="3"/>
            <w:noWrap w:val="0"/>
            <w:vAlign w:val="center"/>
          </w:tcPr>
          <w:p>
            <w:pPr>
              <w:spacing w:line="400" w:lineRule="exact"/>
              <w:jc w:val="center"/>
              <w:rPr>
                <w:rFonts w:hint="eastAsia" w:ascii="宋体" w:hAnsi="宋体" w:cs="宋体"/>
                <w:color w:val="auto"/>
                <w:sz w:val="21"/>
                <w:szCs w:val="21"/>
                <w:lang w:val="zh-CN" w:eastAsia="zh-CN" w:bidi="zh-CN"/>
              </w:rPr>
            </w:pPr>
            <w:r>
              <w:rPr>
                <w:rFonts w:hint="eastAsia" w:ascii="宋体" w:hAnsi="宋体" w:eastAsia="宋体" w:cs="宋体"/>
                <w:spacing w:val="6"/>
                <w:lang w:eastAsia="zh-CN"/>
              </w:rPr>
              <w:t>吕云霞</w:t>
            </w:r>
          </w:p>
        </w:tc>
        <w:tc>
          <w:tcPr>
            <w:tcW w:w="10070" w:type="dxa"/>
            <w:gridSpan w:val="7"/>
            <w:noWrap w:val="0"/>
            <w:vAlign w:val="center"/>
          </w:tcPr>
          <w:p>
            <w:pPr>
              <w:spacing w:line="400" w:lineRule="exact"/>
              <w:jc w:val="center"/>
              <w:rPr>
                <w:rFonts w:hint="eastAsia" w:ascii="宋体" w:hAnsi="宋体" w:cs="宋体"/>
                <w:color w:val="auto"/>
                <w:sz w:val="21"/>
                <w:szCs w:val="21"/>
                <w:lang w:val="zh-CN" w:eastAsia="zh-CN" w:bidi="zh-CN"/>
              </w:rPr>
            </w:pPr>
            <w:r>
              <w:rPr>
                <w:rFonts w:hint="eastAsia" w:ascii="宋体" w:hAnsi="宋体" w:eastAsia="宋体" w:cs="宋体"/>
                <w:spacing w:val="6"/>
                <w:lang w:eastAsia="zh-CN"/>
              </w:rPr>
              <w:t>昆明冶金高等专科学校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2" w:hRule="exact"/>
          <w:jc w:val="center"/>
        </w:trPr>
        <w:tc>
          <w:tcPr>
            <w:tcW w:w="1933" w:type="dxa"/>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备  注</w:t>
            </w:r>
          </w:p>
        </w:tc>
        <w:tc>
          <w:tcPr>
            <w:tcW w:w="14171" w:type="dxa"/>
            <w:gridSpan w:val="10"/>
            <w:noWrap w:val="0"/>
            <w:vAlign w:val="center"/>
          </w:tcPr>
          <w:tbl>
            <w:tblPr>
              <w:tblStyle w:val="2"/>
              <w:tblpPr w:leftFromText="180" w:rightFromText="180" w:vertAnchor="text" w:horzAnchor="page" w:tblpX="6356" w:tblpY="-1032"/>
              <w:tblOverlap w:val="never"/>
              <w:tblW w:w="8051" w:type="dxa"/>
              <w:tblInd w:w="0" w:type="dxa"/>
              <w:tblLayout w:type="fixed"/>
              <w:tblCellMar>
                <w:top w:w="0" w:type="dxa"/>
                <w:left w:w="0" w:type="dxa"/>
                <w:bottom w:w="0" w:type="dxa"/>
                <w:right w:w="0" w:type="dxa"/>
              </w:tblCellMar>
            </w:tblPr>
            <w:tblGrid>
              <w:gridCol w:w="1678"/>
              <w:gridCol w:w="1494"/>
              <w:gridCol w:w="2143"/>
              <w:gridCol w:w="1522"/>
              <w:gridCol w:w="1214"/>
            </w:tblGrid>
            <w:tr>
              <w:tblPrEx>
                <w:tblLayout w:type="fixed"/>
                <w:tblCellMar>
                  <w:top w:w="0" w:type="dxa"/>
                  <w:left w:w="0" w:type="dxa"/>
                  <w:bottom w:w="0" w:type="dxa"/>
                  <w:right w:w="0" w:type="dxa"/>
                </w:tblCellMar>
              </w:tblPrEx>
              <w:trPr>
                <w:trHeight w:val="332" w:hRule="atLeast"/>
              </w:trPr>
              <w:tc>
                <w:tcPr>
                  <w:tcW w:w="317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计费额度（万元）</w:t>
                  </w:r>
                </w:p>
              </w:tc>
              <w:tc>
                <w:tcPr>
                  <w:tcW w:w="21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计费额度（万元）</w:t>
                  </w:r>
                </w:p>
              </w:tc>
              <w:tc>
                <w:tcPr>
                  <w:tcW w:w="1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p>
              </w:tc>
              <w:tc>
                <w:tcPr>
                  <w:tcW w:w="12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服务期限</w:t>
                  </w:r>
                </w:p>
              </w:tc>
            </w:tr>
            <w:tr>
              <w:tblPrEx>
                <w:tblLayout w:type="fixed"/>
                <w:tblCellMar>
                  <w:top w:w="0" w:type="dxa"/>
                  <w:left w:w="0" w:type="dxa"/>
                  <w:bottom w:w="0" w:type="dxa"/>
                  <w:right w:w="0" w:type="dxa"/>
                </w:tblCellMar>
              </w:tblPrEx>
              <w:trPr>
                <w:trHeight w:val="332" w:hRule="atLeast"/>
              </w:trPr>
              <w:tc>
                <w:tcPr>
                  <w:tcW w:w="317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21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2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86" w:hRule="atLeast"/>
              </w:trPr>
              <w:tc>
                <w:tcPr>
                  <w:tcW w:w="1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100以下（含100）</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100以上-700</w:t>
                  </w:r>
                </w:p>
              </w:tc>
              <w:tc>
                <w:tcPr>
                  <w:tcW w:w="2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700（含）以上</w:t>
                  </w: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2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86" w:hRule="atLeast"/>
              </w:trPr>
              <w:tc>
                <w:tcPr>
                  <w:tcW w:w="3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中标</w:t>
                  </w:r>
                  <w:r>
                    <w:rPr>
                      <w:rFonts w:hint="eastAsia" w:ascii="宋体" w:hAnsi="宋体" w:eastAsia="宋体" w:cs="宋体"/>
                      <w:i w:val="0"/>
                      <w:color w:val="000000"/>
                      <w:kern w:val="0"/>
                      <w:sz w:val="21"/>
                      <w:szCs w:val="21"/>
                      <w:u w:val="none"/>
                      <w:lang w:val="en-US" w:eastAsia="zh-CN" w:bidi="ar"/>
                    </w:rPr>
                    <w:t>差额计费率</w:t>
                  </w:r>
                </w:p>
              </w:tc>
              <w:tc>
                <w:tcPr>
                  <w:tcW w:w="2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中标</w:t>
                  </w:r>
                  <w:r>
                    <w:rPr>
                      <w:rFonts w:hint="eastAsia" w:ascii="宋体" w:hAnsi="宋体" w:eastAsia="宋体" w:cs="宋体"/>
                      <w:i w:val="0"/>
                      <w:color w:val="000000"/>
                      <w:kern w:val="0"/>
                      <w:sz w:val="21"/>
                      <w:szCs w:val="21"/>
                      <w:u w:val="none"/>
                      <w:lang w:val="en-US" w:eastAsia="zh-CN" w:bidi="ar"/>
                    </w:rPr>
                    <w:t>价</w:t>
                  </w: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c>
                <w:tcPr>
                  <w:tcW w:w="12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95" w:hRule="atLeast"/>
              </w:trPr>
              <w:tc>
                <w:tcPr>
                  <w:tcW w:w="1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6.67</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1.96</w:t>
                  </w:r>
                </w:p>
              </w:tc>
              <w:tc>
                <w:tcPr>
                  <w:tcW w:w="2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1.93</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详见投标文件</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两年</w:t>
                  </w:r>
                </w:p>
              </w:tc>
            </w:tr>
          </w:tbl>
          <w:p>
            <w:pPr>
              <w:spacing w:line="240" w:lineRule="exact"/>
              <w:jc w:val="center"/>
              <w:rPr>
                <w:rFonts w:hint="eastAsia" w:ascii="宋体" w:hAnsi="宋体" w:eastAsia="宋体" w:cs="宋体"/>
                <w:b/>
                <w:bCs/>
                <w:color w:val="auto"/>
                <w:sz w:val="21"/>
                <w:szCs w:val="21"/>
                <w:lang w:eastAsia="zh-CN"/>
              </w:rPr>
            </w:pPr>
          </w:p>
          <w:p>
            <w:pPr>
              <w:spacing w:line="240" w:lineRule="exact"/>
              <w:jc w:val="center"/>
              <w:rPr>
                <w:rFonts w:hint="eastAsia" w:ascii="宋体" w:hAnsi="宋体" w:eastAsia="宋体" w:cs="宋体"/>
                <w:b/>
                <w:bCs/>
                <w:color w:val="auto"/>
                <w:sz w:val="21"/>
                <w:szCs w:val="21"/>
                <w:lang w:eastAsia="zh-CN"/>
              </w:rPr>
            </w:pPr>
          </w:p>
          <w:p>
            <w:pPr>
              <w:spacing w:line="240" w:lineRule="exac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本项目对项目负责人及技术负责人无要求</w:t>
            </w:r>
          </w:p>
          <w:p>
            <w:pPr>
              <w:spacing w:line="240" w:lineRule="exact"/>
              <w:jc w:val="center"/>
              <w:rPr>
                <w:rFonts w:hint="eastAsia" w:ascii="宋体" w:hAnsi="宋体" w:cs="宋体"/>
                <w:color w:val="auto"/>
                <w:sz w:val="21"/>
                <w:szCs w:val="21"/>
                <w:lang w:val="zh-CN" w:bidi="zh-CN"/>
              </w:rPr>
            </w:pPr>
            <w:r>
              <w:rPr>
                <w:rFonts w:hint="eastAsia" w:ascii="宋体" w:hAnsi="宋体" w:eastAsia="宋体" w:cs="宋体"/>
                <w:b/>
                <w:bCs/>
                <w:color w:val="auto"/>
                <w:sz w:val="21"/>
                <w:szCs w:val="21"/>
              </w:rPr>
              <w:t>本次招标中标价:</w:t>
            </w:r>
            <w:r>
              <w:rPr>
                <w:rFonts w:hint="eastAsia" w:ascii="宋体" w:hAnsi="宋体" w:eastAsia="宋体" w:cs="宋体"/>
                <w:b/>
                <w:bCs/>
                <w:color w:val="auto"/>
                <w:kern w:val="2"/>
                <w:sz w:val="21"/>
                <w:szCs w:val="21"/>
                <w:lang w:val="en-US" w:eastAsia="zh-CN" w:bidi="ar-SA"/>
              </w:rPr>
              <w:t>按评标委员会推荐的第一至第三名中标候选人所报各项投标单价平均价(平均费率)，作为昆明公交集团有限责任公司公交广告资源价值评估公司的最终中标价（中标费率）（计算结果保留至小数点后两位，计价单位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8" w:hRule="exact"/>
          <w:jc w:val="center"/>
        </w:trPr>
        <w:tc>
          <w:tcPr>
            <w:tcW w:w="1933" w:type="dxa"/>
            <w:noWrap w:val="0"/>
            <w:vAlign w:val="center"/>
          </w:tcPr>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招标人审核意见</w:t>
            </w:r>
          </w:p>
        </w:tc>
        <w:tc>
          <w:tcPr>
            <w:tcW w:w="14171" w:type="dxa"/>
            <w:gridSpan w:val="10"/>
            <w:noWrap w:val="0"/>
            <w:vAlign w:val="top"/>
          </w:tcPr>
          <w:p>
            <w:pPr>
              <w:spacing w:line="240" w:lineRule="exact"/>
              <w:jc w:val="center"/>
              <w:rPr>
                <w:rFonts w:hint="eastAsia" w:ascii="宋体" w:hAnsi="宋体" w:cs="宋体"/>
                <w:color w:val="auto"/>
                <w:sz w:val="21"/>
                <w:szCs w:val="21"/>
                <w:lang w:val="zh-CN" w:bidi="zh-CN"/>
              </w:rPr>
            </w:pPr>
          </w:p>
          <w:p>
            <w:pPr>
              <w:spacing w:line="240" w:lineRule="exact"/>
              <w:jc w:val="left"/>
              <w:rPr>
                <w:rFonts w:hint="eastAsia" w:ascii="宋体" w:hAnsi="宋体" w:cs="宋体"/>
                <w:color w:val="auto"/>
                <w:sz w:val="21"/>
                <w:szCs w:val="21"/>
                <w:lang w:val="zh-CN" w:bidi="zh-CN"/>
              </w:rPr>
            </w:pPr>
            <w:r>
              <w:rPr>
                <w:rFonts w:hint="eastAsia" w:ascii="宋体" w:hAnsi="宋体" w:cs="宋体"/>
                <w:color w:val="auto"/>
                <w:sz w:val="21"/>
                <w:szCs w:val="21"/>
                <w:lang w:val="zh-CN" w:bidi="zh-CN"/>
              </w:rPr>
              <w:t>同意，请代理公司代为发布。</w:t>
            </w:r>
          </w:p>
          <w:p>
            <w:pPr>
              <w:spacing w:line="240" w:lineRule="exact"/>
              <w:jc w:val="center"/>
              <w:rPr>
                <w:rFonts w:hint="eastAsia" w:ascii="宋体" w:hAnsi="宋体" w:cs="宋体"/>
                <w:color w:val="auto"/>
                <w:sz w:val="21"/>
                <w:szCs w:val="21"/>
                <w:lang w:val="zh-CN" w:bidi="zh-CN"/>
              </w:rPr>
            </w:pPr>
          </w:p>
          <w:p>
            <w:pPr>
              <w:spacing w:line="240" w:lineRule="exact"/>
              <w:jc w:val="center"/>
              <w:rPr>
                <w:rFonts w:hint="eastAsia" w:ascii="宋体" w:hAnsi="宋体" w:cs="宋体"/>
                <w:color w:val="auto"/>
                <w:sz w:val="21"/>
                <w:szCs w:val="21"/>
                <w:lang w:val="zh-CN" w:bidi="zh-CN"/>
              </w:rPr>
            </w:pPr>
          </w:p>
          <w:p>
            <w:pPr>
              <w:spacing w:line="240" w:lineRule="exact"/>
              <w:jc w:val="center"/>
              <w:rPr>
                <w:rFonts w:hint="eastAsia" w:ascii="宋体" w:hAnsi="宋体" w:cs="宋体"/>
                <w:color w:val="auto"/>
                <w:sz w:val="21"/>
                <w:szCs w:val="21"/>
                <w:lang w:val="zh-CN" w:bidi="zh-CN"/>
              </w:rPr>
            </w:pPr>
          </w:p>
          <w:p>
            <w:pPr>
              <w:spacing w:line="240" w:lineRule="exact"/>
              <w:jc w:val="center"/>
              <w:rPr>
                <w:rFonts w:hint="eastAsia" w:ascii="宋体" w:hAnsi="宋体" w:cs="宋体"/>
                <w:color w:val="auto"/>
                <w:sz w:val="21"/>
                <w:szCs w:val="21"/>
                <w:lang w:val="zh-CN" w:bidi="zh-CN"/>
              </w:rPr>
            </w:pPr>
          </w:p>
          <w:p>
            <w:pPr>
              <w:spacing w:line="240" w:lineRule="exact"/>
              <w:jc w:val="center"/>
              <w:rPr>
                <w:rFonts w:hint="eastAsia" w:ascii="宋体" w:hAnsi="宋体" w:cs="宋体"/>
                <w:color w:val="auto"/>
                <w:sz w:val="21"/>
                <w:szCs w:val="21"/>
                <w:lang w:val="zh-CN" w:bidi="zh-CN"/>
              </w:rPr>
            </w:pPr>
            <w:r>
              <w:rPr>
                <w:rFonts w:hint="eastAsia" w:ascii="宋体" w:hAnsi="宋体" w:cs="宋体"/>
                <w:color w:val="auto"/>
                <w:sz w:val="21"/>
                <w:szCs w:val="21"/>
                <w:lang w:val="zh-CN" w:bidi="zh-CN"/>
              </w:rPr>
              <w:t xml:space="preserve">审核人： </w:t>
            </w:r>
          </w:p>
        </w:tc>
      </w:tr>
    </w:tbl>
    <w:p>
      <w:pPr>
        <w:jc w:val="both"/>
        <w:rPr>
          <w:rFonts w:hint="eastAsia" w:ascii="宋体" w:hAnsi="宋体" w:cs="宋体"/>
          <w:b/>
          <w:sz w:val="44"/>
          <w:szCs w:val="44"/>
          <w:lang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C74DA"/>
    <w:rsid w:val="339C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2019-07-08T01:20:00Z</dcterms:created>
  <dc:creator>GR</dc:creator>
  <cp:lastModifiedBy>GR</cp:lastModifiedBy>
  <dcterms:modified xsi:type="dcterms:W3CDTF">2019-07-08T01:21:31Z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