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color w:val="323232"/>
          <w:sz w:val="23"/>
          <w:szCs w:val="23"/>
        </w:rPr>
      </w:pPr>
      <w:r>
        <w:rPr>
          <w:rStyle w:val="6"/>
          <w:rFonts w:hint="eastAsia" w:ascii="宋体" w:hAnsi="宋体"/>
        </w:rPr>
        <w:t>评标结果公示表</w:t>
      </w:r>
    </w:p>
    <w:tbl>
      <w:tblPr>
        <w:tblStyle w:val="3"/>
        <w:tblW w:w="16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676"/>
        <w:gridCol w:w="965"/>
        <w:gridCol w:w="1965"/>
        <w:gridCol w:w="1984"/>
        <w:gridCol w:w="751"/>
        <w:gridCol w:w="2345"/>
        <w:gridCol w:w="518"/>
        <w:gridCol w:w="2018"/>
        <w:gridCol w:w="2795"/>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exact"/>
          <w:jc w:val="center"/>
        </w:trPr>
        <w:tc>
          <w:tcPr>
            <w:tcW w:w="2712"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招标人</w:t>
            </w:r>
          </w:p>
        </w:tc>
        <w:tc>
          <w:tcPr>
            <w:tcW w:w="4700"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昆明公交集团有限责任公司</w:t>
            </w:r>
          </w:p>
        </w:tc>
        <w:tc>
          <w:tcPr>
            <w:tcW w:w="2863" w:type="dxa"/>
            <w:gridSpan w:val="2"/>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招标人地址</w:t>
            </w:r>
          </w:p>
        </w:tc>
        <w:tc>
          <w:tcPr>
            <w:tcW w:w="5829" w:type="dxa"/>
            <w:gridSpan w:val="3"/>
            <w:noWrap w:val="0"/>
            <w:vAlign w:val="center"/>
          </w:tcPr>
          <w:p>
            <w:pPr>
              <w:spacing w:line="240" w:lineRule="exact"/>
              <w:jc w:val="center"/>
              <w:rPr>
                <w:rFonts w:hint="default" w:ascii="宋体" w:hAnsi="宋体" w:cs="宋体"/>
                <w:color w:val="auto"/>
                <w:szCs w:val="21"/>
                <w:lang w:val="en-US" w:eastAsia="zh-CN" w:bidi="zh-CN"/>
              </w:rPr>
            </w:pPr>
            <w:r>
              <w:rPr>
                <w:rFonts w:hint="eastAsia" w:ascii="宋体" w:hAnsi="宋体" w:cs="宋体"/>
                <w:color w:val="auto"/>
                <w:szCs w:val="21"/>
                <w:lang w:val="zh-CN" w:eastAsia="zh-CN" w:bidi="zh-CN"/>
              </w:rPr>
              <w:t>昆明市霖雨路146号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jc w:val="center"/>
        </w:trPr>
        <w:tc>
          <w:tcPr>
            <w:tcW w:w="2712"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招标联系人</w:t>
            </w:r>
          </w:p>
        </w:tc>
        <w:tc>
          <w:tcPr>
            <w:tcW w:w="4700"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en-US" w:eastAsia="zh-CN" w:bidi="zh-CN"/>
              </w:rPr>
              <w:t xml:space="preserve"> 郭玮</w:t>
            </w:r>
            <w:r>
              <w:rPr>
                <w:rFonts w:hint="eastAsia" w:ascii="宋体" w:hAnsi="宋体" w:cs="宋体"/>
                <w:color w:val="auto"/>
                <w:szCs w:val="21"/>
                <w:lang w:val="zh-CN" w:eastAsia="zh-CN" w:bidi="zh-CN"/>
              </w:rPr>
              <w:t xml:space="preserve"> </w:t>
            </w:r>
          </w:p>
        </w:tc>
        <w:tc>
          <w:tcPr>
            <w:tcW w:w="2863" w:type="dxa"/>
            <w:gridSpan w:val="2"/>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联系电话</w:t>
            </w:r>
          </w:p>
        </w:tc>
        <w:tc>
          <w:tcPr>
            <w:tcW w:w="5829"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63110487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jc w:val="center"/>
        </w:trPr>
        <w:tc>
          <w:tcPr>
            <w:tcW w:w="2712"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招标代理机构</w:t>
            </w:r>
          </w:p>
        </w:tc>
        <w:tc>
          <w:tcPr>
            <w:tcW w:w="4700"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云南国瑞咨询管理有限公司</w:t>
            </w:r>
          </w:p>
        </w:tc>
        <w:tc>
          <w:tcPr>
            <w:tcW w:w="2863" w:type="dxa"/>
            <w:gridSpan w:val="2"/>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招标代理机构地址</w:t>
            </w:r>
          </w:p>
        </w:tc>
        <w:tc>
          <w:tcPr>
            <w:tcW w:w="5829"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昆明市东风西路99号新纪元广场11楼11号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jc w:val="center"/>
        </w:trPr>
        <w:tc>
          <w:tcPr>
            <w:tcW w:w="2712"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招标代理联系人</w:t>
            </w:r>
          </w:p>
        </w:tc>
        <w:tc>
          <w:tcPr>
            <w:tcW w:w="4700"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黄孟潞</w:t>
            </w:r>
          </w:p>
        </w:tc>
        <w:tc>
          <w:tcPr>
            <w:tcW w:w="2863" w:type="dxa"/>
            <w:gridSpan w:val="2"/>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联系电话</w:t>
            </w:r>
          </w:p>
        </w:tc>
        <w:tc>
          <w:tcPr>
            <w:tcW w:w="5829"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 xml:space="preserve"> 0871-63635661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exact"/>
          <w:jc w:val="center"/>
        </w:trPr>
        <w:tc>
          <w:tcPr>
            <w:tcW w:w="2712" w:type="dxa"/>
            <w:gridSpan w:val="3"/>
            <w:noWrap w:val="0"/>
            <w:vAlign w:val="center"/>
          </w:tcPr>
          <w:p>
            <w:pPr>
              <w:spacing w:line="240" w:lineRule="exact"/>
              <w:jc w:val="center"/>
              <w:rPr>
                <w:rFonts w:hint="eastAsia" w:ascii="宋体" w:hAnsi="宋体" w:cs="宋体"/>
                <w:color w:val="auto"/>
                <w:szCs w:val="21"/>
                <w:lang w:val="zh-CN" w:bidi="zh-CN"/>
              </w:rPr>
            </w:pPr>
            <w:r>
              <w:rPr>
                <w:rFonts w:hint="eastAsia" w:ascii="宋体" w:hAnsi="宋体" w:cs="宋体"/>
                <w:color w:val="auto"/>
                <w:szCs w:val="21"/>
                <w:lang w:val="zh-CN" w:bidi="zh-CN"/>
              </w:rPr>
              <w:t>项目名称</w:t>
            </w:r>
          </w:p>
        </w:tc>
        <w:tc>
          <w:tcPr>
            <w:tcW w:w="4700" w:type="dxa"/>
            <w:gridSpan w:val="3"/>
            <w:noWrap w:val="0"/>
            <w:vAlign w:val="center"/>
          </w:tcPr>
          <w:p>
            <w:pPr>
              <w:spacing w:line="240" w:lineRule="exact"/>
              <w:jc w:val="center"/>
              <w:rPr>
                <w:rFonts w:hint="eastAsia" w:ascii="宋体" w:hAnsi="宋体" w:cs="宋体"/>
                <w:color w:val="auto"/>
                <w:szCs w:val="21"/>
                <w:lang w:val="zh-CN" w:eastAsia="zh-CN" w:bidi="zh-CN"/>
              </w:rPr>
            </w:pPr>
            <w:bookmarkStart w:id="0" w:name="_GoBack"/>
            <w:r>
              <w:rPr>
                <w:rFonts w:hint="eastAsia"/>
                <w:bCs/>
                <w:szCs w:val="21"/>
                <w:lang w:val="zh-CN"/>
              </w:rPr>
              <w:t>昆明公交集团有限责任公司公交广告资源价值评估公司入围项目</w:t>
            </w:r>
            <w:bookmarkEnd w:id="0"/>
          </w:p>
        </w:tc>
        <w:tc>
          <w:tcPr>
            <w:tcW w:w="2863" w:type="dxa"/>
            <w:gridSpan w:val="2"/>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监督部门名称及联系方式</w:t>
            </w:r>
          </w:p>
        </w:tc>
        <w:tc>
          <w:tcPr>
            <w:tcW w:w="5829" w:type="dxa"/>
            <w:gridSpan w:val="3"/>
            <w:noWrap w:val="0"/>
            <w:vAlign w:val="center"/>
          </w:tcPr>
          <w:p>
            <w:pPr>
              <w:spacing w:line="240" w:lineRule="exact"/>
              <w:jc w:val="center"/>
              <w:rPr>
                <w:rFonts w:hint="default" w:ascii="宋体" w:hAnsi="宋体" w:cs="宋体"/>
                <w:color w:val="auto"/>
                <w:szCs w:val="21"/>
                <w:lang w:val="en-US" w:eastAsia="zh-CN" w:bidi="zh-CN"/>
              </w:rPr>
            </w:pPr>
            <w:r>
              <w:rPr>
                <w:rFonts w:hint="eastAsia"/>
                <w:bCs/>
                <w:sz w:val="21"/>
                <w:szCs w:val="21"/>
                <w:lang w:val="zh-CN"/>
              </w:rPr>
              <w:t>昆明公交集团有限责任公司</w:t>
            </w:r>
            <w:r>
              <w:rPr>
                <w:rFonts w:hint="eastAsia" w:ascii="宋体" w:hAnsi="宋体" w:cs="宋体"/>
                <w:color w:val="auto"/>
                <w:sz w:val="21"/>
                <w:szCs w:val="21"/>
                <w:lang w:val="zh-CN" w:eastAsia="zh-CN" w:bidi="zh-CN"/>
              </w:rPr>
              <w:t>法务部</w:t>
            </w:r>
            <w:r>
              <w:rPr>
                <w:rFonts w:hint="eastAsia" w:ascii="宋体" w:hAnsi="宋体" w:cs="宋体"/>
                <w:color w:val="auto"/>
                <w:sz w:val="21"/>
                <w:szCs w:val="21"/>
                <w:lang w:val="en-US" w:eastAsia="zh-CN" w:bidi="zh-CN"/>
              </w:rPr>
              <w:t xml:space="preserve">  0871-63112627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exact"/>
          <w:jc w:val="center"/>
        </w:trPr>
        <w:tc>
          <w:tcPr>
            <w:tcW w:w="2712" w:type="dxa"/>
            <w:gridSpan w:val="3"/>
            <w:noWrap w:val="0"/>
            <w:vAlign w:val="center"/>
          </w:tcPr>
          <w:p>
            <w:pPr>
              <w:spacing w:line="240" w:lineRule="exact"/>
              <w:jc w:val="center"/>
              <w:rPr>
                <w:rFonts w:hint="eastAsia" w:ascii="宋体" w:hAnsi="宋体" w:cs="宋体"/>
                <w:color w:val="auto"/>
                <w:szCs w:val="21"/>
                <w:lang w:val="zh-CN" w:bidi="zh-CN"/>
              </w:rPr>
            </w:pPr>
            <w:r>
              <w:rPr>
                <w:rFonts w:hint="eastAsia" w:ascii="宋体" w:hAnsi="宋体" w:cs="宋体"/>
                <w:color w:val="auto"/>
                <w:szCs w:val="21"/>
                <w:lang w:val="zh-CN" w:bidi="zh-CN"/>
              </w:rPr>
              <w:t>开标时间</w:t>
            </w:r>
          </w:p>
        </w:tc>
        <w:tc>
          <w:tcPr>
            <w:tcW w:w="4700"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5</w:t>
            </w:r>
            <w:r>
              <w:rPr>
                <w:rFonts w:hint="eastAsia" w:ascii="宋体" w:hAnsi="宋体" w:cs="宋体"/>
                <w:color w:val="auto"/>
                <w:szCs w:val="21"/>
                <w:lang w:val="zh-CN" w:eastAsia="zh-CN" w:bidi="zh-CN"/>
              </w:rPr>
              <w:t>日</w:t>
            </w:r>
            <w:r>
              <w:rPr>
                <w:rFonts w:hint="eastAsia" w:ascii="宋体" w:hAnsi="宋体" w:cs="宋体"/>
                <w:color w:val="auto"/>
                <w:szCs w:val="21"/>
                <w:lang w:val="en-US" w:eastAsia="zh-CN" w:bidi="zh-CN"/>
              </w:rPr>
              <w:t>14</w:t>
            </w:r>
            <w:r>
              <w:rPr>
                <w:rFonts w:hint="eastAsia" w:ascii="宋体" w:hAnsi="宋体" w:cs="宋体"/>
                <w:color w:val="auto"/>
                <w:szCs w:val="21"/>
                <w:lang w:val="zh-CN" w:eastAsia="zh-CN" w:bidi="zh-CN"/>
              </w:rPr>
              <w:t>时</w:t>
            </w:r>
            <w:r>
              <w:rPr>
                <w:rFonts w:hint="eastAsia" w:ascii="宋体" w:hAnsi="宋体" w:cs="宋体"/>
                <w:color w:val="auto"/>
                <w:szCs w:val="21"/>
                <w:lang w:val="en-US" w:eastAsia="zh-CN" w:bidi="zh-CN"/>
              </w:rPr>
              <w:t>00</w:t>
            </w:r>
            <w:r>
              <w:rPr>
                <w:rFonts w:hint="eastAsia" w:ascii="宋体" w:hAnsi="宋体" w:cs="宋体"/>
                <w:color w:val="auto"/>
                <w:szCs w:val="21"/>
                <w:lang w:val="zh-CN" w:eastAsia="zh-CN" w:bidi="zh-CN"/>
              </w:rPr>
              <w:t>分</w:t>
            </w:r>
          </w:p>
        </w:tc>
        <w:tc>
          <w:tcPr>
            <w:tcW w:w="2863" w:type="dxa"/>
            <w:gridSpan w:val="2"/>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开标地点</w:t>
            </w:r>
          </w:p>
        </w:tc>
        <w:tc>
          <w:tcPr>
            <w:tcW w:w="5829"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昆明市五华区霖雨路146-148号昆明公交集团有限责任公司6楼会议室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exact"/>
          <w:jc w:val="center"/>
        </w:trPr>
        <w:tc>
          <w:tcPr>
            <w:tcW w:w="2712" w:type="dxa"/>
            <w:gridSpan w:val="3"/>
            <w:noWrap w:val="0"/>
            <w:vAlign w:val="center"/>
          </w:tcPr>
          <w:p>
            <w:pPr>
              <w:spacing w:line="240" w:lineRule="exact"/>
              <w:jc w:val="center"/>
              <w:rPr>
                <w:rFonts w:hint="eastAsia" w:ascii="宋体" w:hAnsi="宋体" w:cs="宋体"/>
                <w:color w:val="auto"/>
                <w:szCs w:val="21"/>
                <w:lang w:val="zh-CN" w:bidi="zh-CN"/>
              </w:rPr>
            </w:pPr>
            <w:r>
              <w:rPr>
                <w:rFonts w:hint="eastAsia" w:ascii="宋体" w:hAnsi="宋体" w:cs="宋体"/>
                <w:color w:val="auto"/>
                <w:szCs w:val="21"/>
                <w:lang w:val="zh-CN" w:bidi="zh-CN"/>
              </w:rPr>
              <w:t>招标方式</w:t>
            </w:r>
          </w:p>
        </w:tc>
        <w:tc>
          <w:tcPr>
            <w:tcW w:w="4700"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公开招标</w:t>
            </w:r>
          </w:p>
        </w:tc>
        <w:tc>
          <w:tcPr>
            <w:tcW w:w="2863" w:type="dxa"/>
            <w:gridSpan w:val="2"/>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评标办法</w:t>
            </w:r>
          </w:p>
        </w:tc>
        <w:tc>
          <w:tcPr>
            <w:tcW w:w="5829"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jc w:val="center"/>
        </w:trPr>
        <w:tc>
          <w:tcPr>
            <w:tcW w:w="2712" w:type="dxa"/>
            <w:gridSpan w:val="3"/>
            <w:noWrap w:val="0"/>
            <w:vAlign w:val="center"/>
          </w:tcPr>
          <w:p>
            <w:pPr>
              <w:spacing w:line="240" w:lineRule="exact"/>
              <w:jc w:val="center"/>
              <w:rPr>
                <w:rFonts w:hint="eastAsia" w:ascii="宋体" w:hAnsi="宋体" w:cs="宋体"/>
                <w:color w:val="auto"/>
                <w:szCs w:val="21"/>
                <w:lang w:val="zh-CN" w:bidi="zh-CN"/>
              </w:rPr>
            </w:pPr>
            <w:r>
              <w:rPr>
                <w:rFonts w:hint="eastAsia" w:ascii="宋体" w:hAnsi="宋体" w:cs="宋体"/>
                <w:color w:val="auto"/>
                <w:szCs w:val="21"/>
                <w:lang w:val="zh-CN" w:bidi="zh-CN"/>
              </w:rPr>
              <w:t>公示开始时间</w:t>
            </w:r>
          </w:p>
        </w:tc>
        <w:tc>
          <w:tcPr>
            <w:tcW w:w="4700"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201</w:t>
            </w:r>
            <w:r>
              <w:rPr>
                <w:rFonts w:hint="eastAsia" w:ascii="宋体" w:hAnsi="宋体" w:cs="宋体"/>
                <w:color w:val="auto"/>
                <w:szCs w:val="21"/>
                <w:lang w:val="en-US" w:eastAsia="zh-CN" w:bidi="zh-CN"/>
              </w:rPr>
              <w:t>9</w:t>
            </w:r>
            <w:r>
              <w:rPr>
                <w:rFonts w:hint="eastAsia" w:ascii="宋体" w:hAnsi="宋体" w:cs="宋体"/>
                <w:color w:val="auto"/>
                <w:szCs w:val="21"/>
                <w:lang w:val="zh-CN" w:eastAsia="zh-CN" w:bidi="zh-CN"/>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 xml:space="preserve">  </w:t>
            </w:r>
            <w:r>
              <w:rPr>
                <w:rFonts w:hint="eastAsia" w:ascii="宋体" w:hAnsi="宋体" w:cs="宋体"/>
                <w:color w:val="auto"/>
                <w:szCs w:val="21"/>
                <w:lang w:val="zh-CN" w:eastAsia="zh-CN" w:bidi="zh-CN"/>
              </w:rPr>
              <w:t>日</w:t>
            </w:r>
          </w:p>
        </w:tc>
        <w:tc>
          <w:tcPr>
            <w:tcW w:w="2863" w:type="dxa"/>
            <w:gridSpan w:val="2"/>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公示结束时间</w:t>
            </w:r>
          </w:p>
        </w:tc>
        <w:tc>
          <w:tcPr>
            <w:tcW w:w="5829" w:type="dxa"/>
            <w:gridSpan w:val="3"/>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201</w:t>
            </w:r>
            <w:r>
              <w:rPr>
                <w:rFonts w:hint="eastAsia" w:ascii="宋体" w:hAnsi="宋体" w:cs="宋体"/>
                <w:color w:val="auto"/>
                <w:szCs w:val="21"/>
                <w:lang w:val="en-US" w:eastAsia="zh-CN" w:bidi="zh-CN"/>
              </w:rPr>
              <w:t>9</w:t>
            </w:r>
            <w:r>
              <w:rPr>
                <w:rFonts w:hint="eastAsia" w:ascii="宋体" w:hAnsi="宋体" w:cs="宋体"/>
                <w:color w:val="auto"/>
                <w:szCs w:val="21"/>
                <w:lang w:val="zh-CN" w:eastAsia="zh-CN" w:bidi="zh-CN"/>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 xml:space="preserve">    </w:t>
            </w:r>
            <w:r>
              <w:rPr>
                <w:rFonts w:hint="eastAsia" w:ascii="宋体" w:hAnsi="宋体" w:cs="宋体"/>
                <w:color w:val="auto"/>
                <w:szCs w:val="21"/>
                <w:lang w:val="zh-CN" w:eastAsia="zh-CN" w:bidi="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712" w:type="dxa"/>
            <w:gridSpan w:val="3"/>
            <w:vMerge w:val="restart"/>
            <w:noWrap w:val="0"/>
            <w:vAlign w:val="center"/>
          </w:tcPr>
          <w:p>
            <w:pPr>
              <w:spacing w:line="240" w:lineRule="exact"/>
              <w:jc w:val="center"/>
              <w:rPr>
                <w:rFonts w:hint="eastAsia" w:ascii="宋体" w:hAnsi="宋体" w:cs="宋体"/>
                <w:color w:val="auto"/>
                <w:szCs w:val="21"/>
                <w:lang w:val="zh-CN" w:bidi="zh-CN"/>
              </w:rPr>
            </w:pPr>
            <w:r>
              <w:rPr>
                <w:rFonts w:hint="eastAsia" w:ascii="宋体" w:hAnsi="宋体" w:cs="宋体"/>
                <w:color w:val="auto"/>
                <w:szCs w:val="21"/>
                <w:lang w:val="zh-CN" w:bidi="zh-CN"/>
              </w:rPr>
              <w:t>中标候选人名称</w:t>
            </w:r>
          </w:p>
        </w:tc>
        <w:tc>
          <w:tcPr>
            <w:tcW w:w="3949" w:type="dxa"/>
            <w:gridSpan w:val="2"/>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lang w:val="zh-CN" w:bidi="zh-CN"/>
              </w:rPr>
            </w:pPr>
            <w:r>
              <w:rPr>
                <w:rFonts w:hint="eastAsia" w:ascii="宋体" w:hAnsi="宋体" w:eastAsia="宋体" w:cs="宋体"/>
                <w:i w:val="0"/>
                <w:color w:val="000000"/>
                <w:kern w:val="0"/>
                <w:sz w:val="20"/>
                <w:szCs w:val="20"/>
                <w:u w:val="none"/>
                <w:lang w:val="en-US" w:eastAsia="zh-CN" w:bidi="ar"/>
              </w:rPr>
              <w:t>计费额度（万元）</w:t>
            </w:r>
          </w:p>
        </w:tc>
        <w:tc>
          <w:tcPr>
            <w:tcW w:w="3096" w:type="dxa"/>
            <w:gridSpan w:val="2"/>
            <w:noWrap w:val="0"/>
            <w:vAlign w:val="center"/>
          </w:tcPr>
          <w:p>
            <w:pPr>
              <w:spacing w:line="240" w:lineRule="exact"/>
              <w:jc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计费额度（万元）</w:t>
            </w:r>
          </w:p>
        </w:tc>
        <w:tc>
          <w:tcPr>
            <w:tcW w:w="2536" w:type="dxa"/>
            <w:gridSpan w:val="2"/>
            <w:vMerge w:val="restart"/>
            <w:noWrap w:val="0"/>
            <w:vAlign w:val="center"/>
          </w:tcPr>
          <w:p>
            <w:pPr>
              <w:keepNext w:val="0"/>
              <w:keepLines w:val="0"/>
              <w:widowControl/>
              <w:suppressLineNumbers w:val="0"/>
              <w:jc w:val="center"/>
              <w:textAlignment w:val="center"/>
              <w:rPr>
                <w:rFonts w:hint="eastAsia" w:ascii="宋体" w:hAnsi="宋体" w:cs="宋体"/>
                <w:color w:val="auto"/>
                <w:szCs w:val="21"/>
                <w:lang w:val="zh-CN" w:bidi="zh-CN"/>
              </w:rPr>
            </w:pPr>
            <w:r>
              <w:rPr>
                <w:rFonts w:hint="eastAsia" w:ascii="宋体" w:hAnsi="宋体" w:eastAsia="宋体" w:cs="宋体"/>
                <w:i w:val="0"/>
                <w:color w:val="000000"/>
                <w:kern w:val="0"/>
                <w:sz w:val="20"/>
                <w:szCs w:val="20"/>
                <w:u w:val="none"/>
                <w:lang w:val="en-US" w:eastAsia="zh-CN" w:bidi="ar"/>
              </w:rPr>
              <w:t>服务承诺</w:t>
            </w:r>
          </w:p>
        </w:tc>
        <w:tc>
          <w:tcPr>
            <w:tcW w:w="2795" w:type="dxa"/>
            <w:vMerge w:val="restart"/>
            <w:noWrap w:val="0"/>
            <w:vAlign w:val="center"/>
          </w:tcPr>
          <w:p>
            <w:pPr>
              <w:spacing w:line="240" w:lineRule="exact"/>
              <w:jc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服务期限</w:t>
            </w:r>
          </w:p>
        </w:tc>
        <w:tc>
          <w:tcPr>
            <w:tcW w:w="1016" w:type="dxa"/>
            <w:vMerge w:val="restart"/>
            <w:noWrap w:val="0"/>
            <w:vAlign w:val="center"/>
          </w:tcPr>
          <w:p>
            <w:pPr>
              <w:spacing w:line="240" w:lineRule="exact"/>
              <w:jc w:val="center"/>
              <w:rPr>
                <w:rFonts w:hint="eastAsia" w:ascii="宋体" w:hAnsi="宋体" w:cs="宋体"/>
                <w:color w:val="auto"/>
                <w:szCs w:val="21"/>
                <w:lang w:val="zh-CN" w:eastAsia="zh-CN" w:bidi="zh-CN"/>
              </w:rPr>
            </w:pPr>
            <w:r>
              <w:rPr>
                <w:rFonts w:hint="eastAsia" w:ascii="宋体" w:hAnsi="宋体" w:cs="宋体"/>
                <w:color w:val="auto"/>
                <w:szCs w:val="21"/>
                <w:lang w:val="zh-CN" w:eastAsia="zh-CN" w:bidi="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712" w:type="dxa"/>
            <w:gridSpan w:val="3"/>
            <w:vMerge w:val="continue"/>
            <w:noWrap w:val="0"/>
            <w:vAlign w:val="center"/>
          </w:tcPr>
          <w:p>
            <w:pPr>
              <w:spacing w:line="240" w:lineRule="exact"/>
              <w:jc w:val="center"/>
            </w:pPr>
          </w:p>
        </w:tc>
        <w:tc>
          <w:tcPr>
            <w:tcW w:w="1965" w:type="dxa"/>
            <w:tcBorders>
              <w:bottom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100以下（含100）</w:t>
            </w:r>
          </w:p>
        </w:tc>
        <w:tc>
          <w:tcPr>
            <w:tcW w:w="1984" w:type="dxa"/>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lang w:val="zh-CN" w:bidi="zh-CN"/>
              </w:rPr>
            </w:pPr>
            <w:r>
              <w:rPr>
                <w:rFonts w:hint="eastAsia" w:ascii="宋体" w:hAnsi="宋体" w:eastAsia="宋体" w:cs="宋体"/>
                <w:i w:val="0"/>
                <w:color w:val="000000"/>
                <w:kern w:val="0"/>
                <w:sz w:val="20"/>
                <w:szCs w:val="20"/>
                <w:u w:val="none"/>
                <w:lang w:val="en-US" w:eastAsia="zh-CN" w:bidi="ar"/>
              </w:rPr>
              <w:t>100以上-700</w:t>
            </w:r>
          </w:p>
        </w:tc>
        <w:tc>
          <w:tcPr>
            <w:tcW w:w="3096" w:type="dxa"/>
            <w:gridSpan w:val="2"/>
            <w:noWrap w:val="0"/>
            <w:vAlign w:val="center"/>
          </w:tcPr>
          <w:p>
            <w:pPr>
              <w:spacing w:line="240" w:lineRule="exact"/>
              <w:jc w:val="center"/>
              <w:rPr>
                <w:rFonts w:hint="eastAsia" w:ascii="宋体" w:hAnsi="宋体" w:cs="宋体"/>
                <w:color w:val="auto"/>
                <w:szCs w:val="21"/>
                <w:lang w:val="zh-CN" w:bidi="zh-CN"/>
              </w:rPr>
            </w:pPr>
            <w:r>
              <w:rPr>
                <w:rFonts w:hint="eastAsia" w:ascii="宋体" w:hAnsi="宋体" w:eastAsia="宋体" w:cs="宋体"/>
                <w:i w:val="0"/>
                <w:color w:val="000000"/>
                <w:kern w:val="0"/>
                <w:sz w:val="20"/>
                <w:szCs w:val="20"/>
                <w:u w:val="none"/>
                <w:lang w:val="en-US" w:eastAsia="zh-CN" w:bidi="ar"/>
              </w:rPr>
              <w:t>700（含）以上</w:t>
            </w:r>
          </w:p>
        </w:tc>
        <w:tc>
          <w:tcPr>
            <w:tcW w:w="2536" w:type="dxa"/>
            <w:gridSpan w:val="2"/>
            <w:vMerge w:val="continue"/>
            <w:noWrap w:val="0"/>
            <w:vAlign w:val="center"/>
          </w:tcPr>
          <w:p>
            <w:pPr>
              <w:spacing w:line="240" w:lineRule="exact"/>
              <w:jc w:val="center"/>
              <w:rPr>
                <w:rFonts w:hint="eastAsia" w:ascii="宋体" w:hAnsi="宋体" w:cs="宋体"/>
                <w:color w:val="auto"/>
                <w:szCs w:val="21"/>
                <w:lang w:val="zh-CN" w:bidi="zh-CN"/>
              </w:rPr>
            </w:pPr>
          </w:p>
        </w:tc>
        <w:tc>
          <w:tcPr>
            <w:tcW w:w="2795" w:type="dxa"/>
            <w:vMerge w:val="continue"/>
            <w:noWrap w:val="0"/>
            <w:vAlign w:val="center"/>
          </w:tcPr>
          <w:p>
            <w:pPr>
              <w:spacing w:line="240" w:lineRule="exact"/>
              <w:jc w:val="center"/>
              <w:rPr>
                <w:rFonts w:hint="eastAsia" w:ascii="宋体" w:hAnsi="宋体" w:cs="宋体"/>
                <w:color w:val="auto"/>
                <w:szCs w:val="21"/>
                <w:lang w:val="zh-CN" w:bidi="zh-CN"/>
              </w:rPr>
            </w:pPr>
          </w:p>
        </w:tc>
        <w:tc>
          <w:tcPr>
            <w:tcW w:w="1016" w:type="dxa"/>
            <w:vMerge w:val="continue"/>
            <w:noWrap w:val="0"/>
            <w:vAlign w:val="center"/>
          </w:tcPr>
          <w:p>
            <w:pPr>
              <w:spacing w:line="240" w:lineRule="exact"/>
              <w:jc w:val="center"/>
              <w:rPr>
                <w:rFonts w:hint="eastAsia" w:ascii="宋体" w:hAnsi="宋体" w:cs="宋体"/>
                <w:color w:val="auto"/>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712" w:type="dxa"/>
            <w:gridSpan w:val="3"/>
            <w:vMerge w:val="continue"/>
            <w:noWrap w:val="0"/>
            <w:vAlign w:val="center"/>
          </w:tcPr>
          <w:p>
            <w:pPr>
              <w:spacing w:line="240" w:lineRule="exact"/>
              <w:jc w:val="center"/>
              <w:rPr>
                <w:rFonts w:hint="eastAsia" w:ascii="宋体" w:hAnsi="宋体" w:cs="宋体"/>
                <w:color w:val="auto"/>
                <w:szCs w:val="21"/>
                <w:lang w:val="zh-CN" w:bidi="zh-CN"/>
              </w:rPr>
            </w:pPr>
          </w:p>
        </w:tc>
        <w:tc>
          <w:tcPr>
            <w:tcW w:w="3949" w:type="dxa"/>
            <w:gridSpan w:val="2"/>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lang w:val="zh-CN" w:bidi="zh-CN"/>
              </w:rPr>
            </w:pPr>
            <w:r>
              <w:rPr>
                <w:rFonts w:hint="eastAsia" w:ascii="宋体" w:hAnsi="宋体" w:eastAsia="宋体" w:cs="宋体"/>
                <w:i w:val="0"/>
                <w:color w:val="000000"/>
                <w:kern w:val="0"/>
                <w:sz w:val="20"/>
                <w:szCs w:val="20"/>
                <w:u w:val="none"/>
                <w:lang w:val="en-US" w:eastAsia="zh-CN" w:bidi="ar"/>
              </w:rPr>
              <w:t>差额计费率</w:t>
            </w:r>
          </w:p>
        </w:tc>
        <w:tc>
          <w:tcPr>
            <w:tcW w:w="3096" w:type="dxa"/>
            <w:gridSpan w:val="2"/>
            <w:noWrap w:val="0"/>
            <w:vAlign w:val="center"/>
          </w:tcPr>
          <w:p>
            <w:pPr>
              <w:spacing w:line="240" w:lineRule="exact"/>
              <w:jc w:val="center"/>
              <w:rPr>
                <w:rFonts w:hint="eastAsia" w:ascii="宋体" w:hAnsi="宋体" w:cs="宋体"/>
                <w:color w:val="auto"/>
                <w:szCs w:val="21"/>
                <w:lang w:val="zh-CN" w:bidi="zh-CN"/>
              </w:rPr>
            </w:pPr>
            <w:r>
              <w:rPr>
                <w:rFonts w:hint="eastAsia" w:ascii="宋体" w:hAnsi="宋体" w:eastAsia="宋体" w:cs="宋体"/>
                <w:i w:val="0"/>
                <w:color w:val="000000"/>
                <w:kern w:val="0"/>
                <w:sz w:val="20"/>
                <w:szCs w:val="20"/>
                <w:u w:val="none"/>
                <w:lang w:val="en-US" w:eastAsia="zh-CN" w:bidi="ar"/>
              </w:rPr>
              <w:t>投标报价</w:t>
            </w:r>
          </w:p>
        </w:tc>
        <w:tc>
          <w:tcPr>
            <w:tcW w:w="2536" w:type="dxa"/>
            <w:gridSpan w:val="2"/>
            <w:vMerge w:val="continue"/>
            <w:noWrap w:val="0"/>
            <w:vAlign w:val="center"/>
          </w:tcPr>
          <w:p>
            <w:pPr>
              <w:spacing w:line="240" w:lineRule="exact"/>
              <w:jc w:val="center"/>
              <w:rPr>
                <w:rFonts w:hint="eastAsia" w:ascii="宋体" w:hAnsi="宋体" w:cs="宋体"/>
                <w:color w:val="auto"/>
                <w:szCs w:val="21"/>
                <w:lang w:val="zh-CN" w:bidi="zh-CN"/>
              </w:rPr>
            </w:pPr>
          </w:p>
        </w:tc>
        <w:tc>
          <w:tcPr>
            <w:tcW w:w="2795" w:type="dxa"/>
            <w:vMerge w:val="continue"/>
            <w:noWrap w:val="0"/>
            <w:vAlign w:val="center"/>
          </w:tcPr>
          <w:p>
            <w:pPr>
              <w:spacing w:line="240" w:lineRule="exact"/>
              <w:jc w:val="center"/>
              <w:rPr>
                <w:rFonts w:hint="eastAsia" w:ascii="宋体" w:hAnsi="宋体" w:cs="宋体"/>
                <w:color w:val="auto"/>
                <w:szCs w:val="21"/>
                <w:lang w:val="zh-CN" w:bidi="zh-CN"/>
              </w:rPr>
            </w:pPr>
          </w:p>
        </w:tc>
        <w:tc>
          <w:tcPr>
            <w:tcW w:w="1016" w:type="dxa"/>
            <w:vMerge w:val="continue"/>
            <w:noWrap w:val="0"/>
            <w:vAlign w:val="center"/>
          </w:tcPr>
          <w:p>
            <w:pPr>
              <w:spacing w:line="240" w:lineRule="exact"/>
              <w:jc w:val="center"/>
              <w:rPr>
                <w:rFonts w:hint="eastAsia" w:ascii="宋体" w:hAnsi="宋体" w:cs="宋体"/>
                <w:color w:val="auto"/>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1" w:type="dxa"/>
            <w:noWrap w:val="0"/>
            <w:vAlign w:val="center"/>
          </w:tcPr>
          <w:p>
            <w:pPr>
              <w:spacing w:line="240" w:lineRule="exact"/>
              <w:jc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第一中标候选人</w:t>
            </w:r>
          </w:p>
        </w:tc>
        <w:tc>
          <w:tcPr>
            <w:tcW w:w="1641" w:type="dxa"/>
            <w:gridSpan w:val="2"/>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昆明信联资产评估有限公司</w:t>
            </w:r>
          </w:p>
        </w:tc>
        <w:tc>
          <w:tcPr>
            <w:tcW w:w="196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6.3‰</w:t>
            </w:r>
          </w:p>
        </w:tc>
        <w:tc>
          <w:tcPr>
            <w:tcW w:w="1984"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2.625‰</w:t>
            </w:r>
          </w:p>
        </w:tc>
        <w:tc>
          <w:tcPr>
            <w:tcW w:w="3096" w:type="dxa"/>
            <w:gridSpan w:val="2"/>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2.10万元</w:t>
            </w:r>
          </w:p>
        </w:tc>
        <w:tc>
          <w:tcPr>
            <w:tcW w:w="2536" w:type="dxa"/>
            <w:gridSpan w:val="2"/>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详见投标文件</w:t>
            </w:r>
          </w:p>
        </w:tc>
        <w:tc>
          <w:tcPr>
            <w:tcW w:w="2795" w:type="dxa"/>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两年</w:t>
            </w:r>
          </w:p>
        </w:tc>
        <w:tc>
          <w:tcPr>
            <w:tcW w:w="1016" w:type="dxa"/>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6104" w:type="dxa"/>
            <w:gridSpan w:val="11"/>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企业业绩：1、云南建投建筑机械有限公司为完善资产管理事项所涉及的位于昆明市五里多农博广场相关资产的市场租金资产评估；2、云南建投第二安装工程公司为完善资产管理事项所涉及的位于昆明市虹山西路相关资产的市场租金评估；3、中国船舶重工集团公司七五○试验场拟与云南怡达实业有限公司进行昆明船舶酒店经营权交接事项所涉及的昆明船舶酒店相关实物资产的市场价值；4、云南张峰服饰有限公司拟用实物资产抵偿云南金马集团光明实业有限责任公司部分债务事项所涉及的云南张峰服饰有限公司相关实物资产的市场价值评估；5、昆明公交集团有限责任公司拟将部分公交车车身广告位经营权对外招租事项所涉及的车身广告位经营权租赁价格的市场价值资产评估；6、昆明公共自行车运营管理有限公司拟收购杭州金通公共自行车科技股份有限公司呈贡区公共自行车服务站点事项所涉及的相关资产的市场价值资产评估；7、中国人民解放军31634部队终止出租部分土地事项所涉及的相关损失权益市场价值资产评估；8、为西双版纳旅游度假区管理委员会因城市道路建设事项所涉及的两家单位位于南联山农场附近的苗木基地损失权益的市场价值资产评估；9、因昆明螺蛳湾国悦置地有限公司拟进行股权重组事项所涉及的股东全部权益的市场价值资产评估；10、云南乍甸乳业有限责任公司拟用龙江先生名下位于大理州云龙县的森林资源资产抵押贷款事项所涉及的林木所有权及林地使用权的市场价值资产评估；11、因昆明誉明投资开发有限公司与昆明凤仪大酒店管理有限公司拟修改租赁合同事项所涉及的相关房地产的市场租金价值资产评估；12、云南鼎福房地产开发有限责任公司因拟进行股权变更事项所涉及的股东全部权益的市场价值资产评估；13、昆明公共自行车运营管理有限公司拟收购杭州金通公共自行车科技股份有限公司呈贡新区公共自行车服务站点事项所涉及的相关设施的市场价值资产评估；14、因昆明公交集团有限责任公司的部分商铺租赁期限到期事项所涉及相关商铺租金的市场价值资产评估；15、昆明公交集团有限责任公司对晋宁县滇骏城乡公交有限公司进行投资事项所涉及的相关车辆的市场价值资产评估；16、西双版纳绿色家园农业发展有限公司拟用位于西双版纳州勐海县勐宋乡三迈村的森林资源资产抵押贷款事项所涉及的相关林地使用权及林木所有权的市场价值资产评估；17、云南省国有资本运营有限公司拟用云南省国有资本运营金控有限公司的股权进行股权置换事项所涉及的云南省国有资本运营金控有限公司股东全部权益的市场价值；18、澜沧县国有资产经营有限责任公司因澜沧县芭蕉林木材交易中心19家企业迁出事项所涉及相关损失权益评估；19、红河州人民政府拟无偿划转州级单位个旧地区资产事项所涉及的红河州十号楼宾馆净资产市场价值资产评估；20、武定中医院拟进行优化管理事项所涉及的武定中医院股东全部权益市场价值资产评估；21、勐海欣盛城乡投资开发有限公司拟进行增资扩股事项所涉及的股东全部权益的市场价值资产评估；22、西双版纳旅游度假区南联山农场管理委员会因政府征用土地，需与景洪锦秀园林有限责任公司解除租地协议事项，所涉及的景洪锦秀园林有限责任公司林木搬迁损失权益资产评估；23、昆明德和罐头食品有限责任公司因股权变更行为个人所得税核查事项所涉及的相关建筑物及土地使用权市场价值资产评估；24、贵州东城明珠综合休闲管理有限责任公司拟进行股权变更事项所涉及的股东全部权益的市场价值资产评估；25、励德教育科技（云南）有限公司因税收核查事项所涉及的股东全部权益的市场价值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071" w:type="dxa"/>
            <w:noWrap w:val="0"/>
            <w:vAlign w:val="center"/>
          </w:tcPr>
          <w:p>
            <w:pPr>
              <w:spacing w:line="240" w:lineRule="exact"/>
              <w:jc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第二中标候选人</w:t>
            </w:r>
          </w:p>
        </w:tc>
        <w:tc>
          <w:tcPr>
            <w:tcW w:w="1641" w:type="dxa"/>
            <w:gridSpan w:val="2"/>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18"/>
                <w:szCs w:val="18"/>
                <w:u w:val="none"/>
                <w:lang w:val="en-US" w:eastAsia="zh-CN" w:bidi="ar"/>
              </w:rPr>
              <w:t>云南永盛资产评估有限公司</w:t>
            </w:r>
          </w:p>
        </w:tc>
        <w:tc>
          <w:tcPr>
            <w:tcW w:w="1965" w:type="dxa"/>
            <w:tcBorders>
              <w:top w:val="nil"/>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18"/>
                <w:szCs w:val="18"/>
                <w:u w:val="none"/>
                <w:lang w:val="en-US" w:eastAsia="zh-CN" w:bidi="ar"/>
              </w:rPr>
              <w:t>8.8</w:t>
            </w:r>
          </w:p>
        </w:tc>
        <w:tc>
          <w:tcPr>
            <w:tcW w:w="1984" w:type="dxa"/>
            <w:tcBorders>
              <w:top w:val="nil"/>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18"/>
                <w:szCs w:val="18"/>
                <w:u w:val="none"/>
                <w:lang w:val="en-US" w:eastAsia="zh-CN" w:bidi="ar"/>
              </w:rPr>
              <w:t>0.75</w:t>
            </w:r>
          </w:p>
        </w:tc>
        <w:tc>
          <w:tcPr>
            <w:tcW w:w="3096" w:type="dxa"/>
            <w:gridSpan w:val="2"/>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18"/>
                <w:szCs w:val="18"/>
                <w:u w:val="none"/>
                <w:lang w:val="en-US" w:eastAsia="zh-CN" w:bidi="ar"/>
              </w:rPr>
              <w:t>1.2万元</w:t>
            </w:r>
          </w:p>
        </w:tc>
        <w:tc>
          <w:tcPr>
            <w:tcW w:w="2536" w:type="dxa"/>
            <w:gridSpan w:val="2"/>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18"/>
                <w:szCs w:val="18"/>
                <w:u w:val="none"/>
                <w:lang w:val="en-US" w:eastAsia="zh-CN" w:bidi="ar"/>
              </w:rPr>
              <w:t>详见投标文件</w:t>
            </w:r>
          </w:p>
        </w:tc>
        <w:tc>
          <w:tcPr>
            <w:tcW w:w="2795" w:type="dxa"/>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18"/>
                <w:szCs w:val="18"/>
                <w:u w:val="none"/>
                <w:lang w:val="en-US" w:eastAsia="zh-CN" w:bidi="ar"/>
              </w:rPr>
              <w:t>2年</w:t>
            </w:r>
          </w:p>
        </w:tc>
        <w:tc>
          <w:tcPr>
            <w:tcW w:w="1016" w:type="dxa"/>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6104" w:type="dxa"/>
            <w:gridSpan w:val="11"/>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企业业绩：1、云南省城市建设投资集团有限公司拟处置其持有的楚雄兴彝村镇银行股份有限公司股权项目；2、大理白族自治州公安局拟处置其在“8.08”非法买卖运输制毒物品案中缴获的乙酸乙酯和二氯甲烷评估项目；3、云南机场集团有限公司拟对下属子公司云南机场建设发展有限公司进行混合所制作改革项目；4、云南省城市建设投资集团有限公司拟处置其持有的昆明呈贡华夏村镇银行股份有限公司10%股权所涉及的股东全部权益价值评估项目；5、云南省国有资本运营有限公司拟受让云南煤化工集团有限公司所持有云南招标股份有限公司12.5%的股权所涉及股东全部权益价值评估项目；6、云南恒安电力工程有限公司拟了解镇康县恒晟水电开发有限责任公司三座水电站资产价值评估项目；7、云南力晨经济技术咨询有限公司拟转让其所持云南招标股份有限公司股权评估项目；8、广南县住房和城乡建设局污水处理厂厂区地上附着物资产评估项目；9、云南省资产管理有限公司拟投资购买屋顶县农村信用合作联社不良贷款资产提供价值咨询意见；10、开远市龙恒投资有限责任公司拟收购红河龙翼投资有限公司全部股权所涉及的红河龙翼投资有限公司股东全部权益价值评估；11、2016年弥勒市市级行政事业单位、国有企业国有资产市场价值评估咨询项目；12、中国石化销售有限公司云南分公司全部股权评估项目；13、云南能投中小水电投资有限公司全部股权评估；14、易门云铸工贸有限公司涉及武易高速（易门段）红线内相关资产征收补偿价值资产评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1071" w:type="dxa"/>
            <w:noWrap w:val="0"/>
            <w:vAlign w:val="center"/>
          </w:tcPr>
          <w:p>
            <w:pPr>
              <w:spacing w:line="240" w:lineRule="exact"/>
              <w:jc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第三中标候选人</w:t>
            </w:r>
          </w:p>
        </w:tc>
        <w:tc>
          <w:tcPr>
            <w:tcW w:w="1641" w:type="dxa"/>
            <w:gridSpan w:val="2"/>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昆明博扬资产评估有限公司</w:t>
            </w:r>
          </w:p>
        </w:tc>
        <w:tc>
          <w:tcPr>
            <w:tcW w:w="196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4.9‰</w:t>
            </w:r>
          </w:p>
        </w:tc>
        <w:tc>
          <w:tcPr>
            <w:tcW w:w="1984"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2.5‰</w:t>
            </w:r>
          </w:p>
        </w:tc>
        <w:tc>
          <w:tcPr>
            <w:tcW w:w="3096" w:type="dxa"/>
            <w:gridSpan w:val="2"/>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2.49万元</w:t>
            </w:r>
          </w:p>
        </w:tc>
        <w:tc>
          <w:tcPr>
            <w:tcW w:w="2536" w:type="dxa"/>
            <w:gridSpan w:val="2"/>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详见投标文件</w:t>
            </w:r>
          </w:p>
        </w:tc>
        <w:tc>
          <w:tcPr>
            <w:tcW w:w="2795" w:type="dxa"/>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详见投标文件</w:t>
            </w:r>
          </w:p>
        </w:tc>
        <w:tc>
          <w:tcPr>
            <w:tcW w:w="1016" w:type="dxa"/>
            <w:noWrap w:val="0"/>
            <w:vAlign w:val="center"/>
          </w:tcPr>
          <w:p>
            <w:pPr>
              <w:keepNext w:val="0"/>
              <w:keepLines w:val="0"/>
              <w:widowControl/>
              <w:suppressLineNumbers w:val="0"/>
              <w:jc w:val="center"/>
              <w:textAlignment w:val="center"/>
              <w:rPr>
                <w:rFonts w:hint="eastAsia" w:ascii="宋体" w:hAnsi="宋体" w:cs="宋体"/>
                <w:color w:val="auto"/>
                <w:szCs w:val="21"/>
                <w:lang w:val="en-US" w:eastAsia="zh-CN" w:bidi="zh-CN"/>
              </w:rPr>
            </w:pPr>
            <w:r>
              <w:rPr>
                <w:rFonts w:hint="eastAsia" w:ascii="宋体" w:hAnsi="宋体" w:eastAsia="宋体" w:cs="宋体"/>
                <w:i w:val="0"/>
                <w:color w:val="000000"/>
                <w:kern w:val="0"/>
                <w:sz w:val="20"/>
                <w:szCs w:val="20"/>
                <w:u w:val="none"/>
                <w:lang w:val="en-US" w:eastAsia="zh-CN" w:bidi="ar"/>
              </w:rPr>
              <w:t>64.22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16104" w:type="dxa"/>
            <w:gridSpan w:val="11"/>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企业业绩：1、昆明公交集团有限责任公司部分单层车车身广告资源价值费用评估；2、昆明公交集团有限责任公司部分双层车车身广告资源价值费用评估；3、昆明公交集团有限责任公司部份公交候车亭资源价值选聘评估公司项目；4、昆明公交集团有限责任公司部分公交候车亭广告资源价值评估招标项目；5、昆明公交集团大楼中信银行商铺及东部公交枢纽站商铺招租底价评估项目；6、2012年市级统建铭惠园及吉惠园保障房项目配建商业物业和幼儿园拟公开招租资产租金价值评估；7、昆明市城建投资开发有限责任公司拟出租巫家坝片区地块招租底价评估项目；8、昆明市公共租赁住房开发建设管理有限公司子君村保障房项目配建商业物业、银河保障房项目配建商业物业及社区配套用房拟公开招租项目的资产租金价值评估；9、昆明博欣彩莲湾商铺及写字楼价值评估项目；10、农投公司所属614亩国有土地内未拆除建（构）筑物净残值评估项目；11、昆明盛世晨农农业发展股份有限公司整体资产评估项目；12、拟出租昆明市西山区团结乡街道办事处和平社区居民委员会和平居民小组批发零售用地（即团结乡加油站地块）招租底价评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7" w:hRule="exact"/>
          <w:jc w:val="center"/>
        </w:trPr>
        <w:tc>
          <w:tcPr>
            <w:tcW w:w="1747" w:type="dxa"/>
            <w:gridSpan w:val="2"/>
            <w:noWrap w:val="0"/>
            <w:vAlign w:val="center"/>
          </w:tcPr>
          <w:p>
            <w:pPr>
              <w:spacing w:line="240" w:lineRule="exact"/>
              <w:jc w:val="center"/>
              <w:rPr>
                <w:rFonts w:hint="eastAsia" w:ascii="宋体" w:hAnsi="宋体" w:cs="宋体"/>
                <w:color w:val="auto"/>
                <w:szCs w:val="21"/>
                <w:lang w:val="zh-CN" w:bidi="zh-CN"/>
              </w:rPr>
            </w:pPr>
            <w:r>
              <w:rPr>
                <w:rFonts w:hint="eastAsia" w:ascii="宋体" w:hAnsi="宋体" w:cs="宋体"/>
                <w:color w:val="auto"/>
                <w:szCs w:val="21"/>
                <w:lang w:val="zh-CN" w:bidi="zh-CN"/>
              </w:rPr>
              <w:t>备  注</w:t>
            </w:r>
          </w:p>
        </w:tc>
        <w:tc>
          <w:tcPr>
            <w:tcW w:w="14357" w:type="dxa"/>
            <w:gridSpan w:val="9"/>
            <w:noWrap w:val="0"/>
            <w:vAlign w:val="center"/>
          </w:tcPr>
          <w:tbl>
            <w:tblPr>
              <w:tblStyle w:val="3"/>
              <w:tblpPr w:leftFromText="180" w:rightFromText="180" w:vertAnchor="text" w:horzAnchor="page" w:tblpX="7338" w:tblpY="-1005"/>
              <w:tblOverlap w:val="never"/>
              <w:tblW w:w="8292" w:type="dxa"/>
              <w:tblInd w:w="0" w:type="dxa"/>
              <w:tblLayout w:type="fixed"/>
              <w:tblCellMar>
                <w:top w:w="0" w:type="dxa"/>
                <w:left w:w="0" w:type="dxa"/>
                <w:bottom w:w="0" w:type="dxa"/>
                <w:right w:w="0" w:type="dxa"/>
              </w:tblCellMar>
            </w:tblPr>
            <w:tblGrid>
              <w:gridCol w:w="1678"/>
              <w:gridCol w:w="1494"/>
              <w:gridCol w:w="2143"/>
              <w:gridCol w:w="1522"/>
              <w:gridCol w:w="1455"/>
            </w:tblGrid>
            <w:tr>
              <w:tblPrEx>
                <w:tblLayout w:type="fixed"/>
                <w:tblCellMar>
                  <w:top w:w="0" w:type="dxa"/>
                  <w:left w:w="0" w:type="dxa"/>
                  <w:bottom w:w="0" w:type="dxa"/>
                  <w:right w:w="0" w:type="dxa"/>
                </w:tblCellMar>
              </w:tblPrEx>
              <w:trPr>
                <w:trHeight w:val="332" w:hRule="atLeast"/>
              </w:trPr>
              <w:tc>
                <w:tcPr>
                  <w:tcW w:w="317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计费额度（万元）</w:t>
                  </w:r>
                </w:p>
              </w:tc>
              <w:tc>
                <w:tcPr>
                  <w:tcW w:w="21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计费额度（万元）</w:t>
                  </w:r>
                </w:p>
              </w:tc>
              <w:tc>
                <w:tcPr>
                  <w:tcW w:w="15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服务承诺</w:t>
                  </w:r>
                </w:p>
              </w:tc>
              <w:tc>
                <w:tcPr>
                  <w:tcW w:w="14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服务期限</w:t>
                  </w:r>
                </w:p>
              </w:tc>
            </w:tr>
            <w:tr>
              <w:tblPrEx>
                <w:tblLayout w:type="fixed"/>
                <w:tblCellMar>
                  <w:top w:w="0" w:type="dxa"/>
                  <w:left w:w="0" w:type="dxa"/>
                  <w:bottom w:w="0" w:type="dxa"/>
                  <w:right w:w="0" w:type="dxa"/>
                </w:tblCellMar>
              </w:tblPrEx>
              <w:trPr>
                <w:trHeight w:val="332" w:hRule="atLeast"/>
              </w:trPr>
              <w:tc>
                <w:tcPr>
                  <w:tcW w:w="317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c>
                <w:tcPr>
                  <w:tcW w:w="21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c>
                <w:tcPr>
                  <w:tcW w:w="1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86" w:hRule="atLeast"/>
              </w:trPr>
              <w:tc>
                <w:tcPr>
                  <w:tcW w:w="1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100以下（含100）</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100以上-700</w:t>
                  </w:r>
                </w:p>
              </w:tc>
              <w:tc>
                <w:tcPr>
                  <w:tcW w:w="2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700（含）以上</w:t>
                  </w:r>
                </w:p>
              </w:tc>
              <w:tc>
                <w:tcPr>
                  <w:tcW w:w="1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86" w:hRule="atLeast"/>
              </w:trPr>
              <w:tc>
                <w:tcPr>
                  <w:tcW w:w="31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中标</w:t>
                  </w:r>
                  <w:r>
                    <w:rPr>
                      <w:rFonts w:hint="eastAsia" w:ascii="宋体" w:hAnsi="宋体" w:eastAsia="宋体" w:cs="宋体"/>
                      <w:i w:val="0"/>
                      <w:color w:val="000000"/>
                      <w:kern w:val="0"/>
                      <w:sz w:val="21"/>
                      <w:szCs w:val="21"/>
                      <w:u w:val="none"/>
                      <w:lang w:val="en-US" w:eastAsia="zh-CN" w:bidi="ar"/>
                    </w:rPr>
                    <w:t>差额计费率</w:t>
                  </w:r>
                </w:p>
              </w:tc>
              <w:tc>
                <w:tcPr>
                  <w:tcW w:w="2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中标</w:t>
                  </w:r>
                  <w:r>
                    <w:rPr>
                      <w:rFonts w:hint="eastAsia" w:ascii="宋体" w:hAnsi="宋体" w:eastAsia="宋体" w:cs="宋体"/>
                      <w:i w:val="0"/>
                      <w:color w:val="000000"/>
                      <w:kern w:val="0"/>
                      <w:sz w:val="21"/>
                      <w:szCs w:val="21"/>
                      <w:u w:val="none"/>
                      <w:lang w:val="en-US" w:eastAsia="zh-CN" w:bidi="ar"/>
                    </w:rPr>
                    <w:t>价</w:t>
                  </w:r>
                </w:p>
              </w:tc>
              <w:tc>
                <w:tcPr>
                  <w:tcW w:w="1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95" w:hRule="atLeast"/>
              </w:trPr>
              <w:tc>
                <w:tcPr>
                  <w:tcW w:w="1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6.67</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1.96</w:t>
                  </w:r>
                </w:p>
              </w:tc>
              <w:tc>
                <w:tcPr>
                  <w:tcW w:w="2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1.93</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详见投标文件</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两年</w:t>
                  </w:r>
                </w:p>
              </w:tc>
            </w:tr>
          </w:tbl>
          <w:p>
            <w:pPr>
              <w:spacing w:line="240" w:lineRule="exact"/>
              <w:jc w:val="center"/>
              <w:rPr>
                <w:rFonts w:hint="eastAsia" w:ascii="宋体" w:hAnsi="宋体" w:eastAsia="宋体" w:cs="宋体"/>
                <w:b/>
                <w:bCs/>
                <w:color w:val="auto"/>
                <w:sz w:val="21"/>
                <w:szCs w:val="21"/>
                <w:lang w:eastAsia="zh-CN"/>
              </w:rPr>
            </w:pPr>
          </w:p>
          <w:p>
            <w:pPr>
              <w:spacing w:line="240" w:lineRule="exact"/>
              <w:jc w:val="center"/>
              <w:rPr>
                <w:rFonts w:hint="eastAsia" w:ascii="宋体" w:hAnsi="宋体" w:eastAsia="宋体" w:cs="宋体"/>
                <w:b/>
                <w:bCs/>
                <w:color w:val="auto"/>
                <w:sz w:val="21"/>
                <w:szCs w:val="21"/>
                <w:lang w:eastAsia="zh-CN"/>
              </w:rPr>
            </w:pPr>
          </w:p>
          <w:p>
            <w:pPr>
              <w:spacing w:line="240" w:lineRule="exact"/>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本项目对项目负责人及技术负责人无要求</w:t>
            </w:r>
          </w:p>
          <w:p>
            <w:pPr>
              <w:spacing w:line="240" w:lineRule="exact"/>
              <w:jc w:val="center"/>
              <w:rPr>
                <w:rFonts w:hint="eastAsia" w:ascii="宋体" w:hAnsi="宋体" w:cs="宋体"/>
                <w:color w:val="auto"/>
                <w:szCs w:val="21"/>
                <w:lang w:val="zh-CN" w:bidi="zh-CN"/>
              </w:rPr>
            </w:pPr>
            <w:r>
              <w:rPr>
                <w:rFonts w:hint="eastAsia" w:ascii="宋体" w:hAnsi="宋体" w:eastAsia="宋体" w:cs="宋体"/>
                <w:b/>
                <w:bCs/>
                <w:color w:val="auto"/>
                <w:sz w:val="21"/>
                <w:szCs w:val="21"/>
              </w:rPr>
              <w:t>本次招标中标价:</w:t>
            </w:r>
            <w:r>
              <w:rPr>
                <w:rFonts w:hint="eastAsia" w:ascii="宋体" w:hAnsi="宋体" w:eastAsia="宋体" w:cs="宋体"/>
                <w:b/>
                <w:bCs/>
                <w:color w:val="auto"/>
                <w:kern w:val="2"/>
                <w:sz w:val="21"/>
                <w:szCs w:val="21"/>
                <w:lang w:val="en-US" w:eastAsia="zh-CN" w:bidi="ar-SA"/>
              </w:rPr>
              <w:t>按评标委员会推荐的第一至第三名中标候选人所报各项投标单价平均价(平均费率)，作为昆明公交集团有限责任公司公交广告资源价值评估公司的最终中标价（中标费率）（计算结果保留至小数点后两位，计价单位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exact"/>
          <w:jc w:val="center"/>
        </w:trPr>
        <w:tc>
          <w:tcPr>
            <w:tcW w:w="1747" w:type="dxa"/>
            <w:gridSpan w:val="2"/>
            <w:noWrap w:val="0"/>
            <w:vAlign w:val="center"/>
          </w:tcPr>
          <w:p>
            <w:pPr>
              <w:spacing w:line="240" w:lineRule="exact"/>
              <w:jc w:val="center"/>
              <w:rPr>
                <w:rFonts w:hint="eastAsia" w:ascii="宋体" w:hAnsi="宋体" w:cs="宋体"/>
                <w:color w:val="auto"/>
                <w:szCs w:val="21"/>
                <w:lang w:val="zh-CN" w:bidi="zh-CN"/>
              </w:rPr>
            </w:pPr>
            <w:r>
              <w:rPr>
                <w:rFonts w:hint="eastAsia" w:ascii="宋体" w:hAnsi="宋体" w:cs="宋体"/>
                <w:color w:val="auto"/>
                <w:szCs w:val="21"/>
                <w:lang w:val="zh-CN" w:bidi="zh-CN"/>
              </w:rPr>
              <w:t>废标情况</w:t>
            </w:r>
          </w:p>
        </w:tc>
        <w:tc>
          <w:tcPr>
            <w:tcW w:w="14357" w:type="dxa"/>
            <w:gridSpan w:val="9"/>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zh-CN" w:eastAsia="zh-CN" w:bidi="ar"/>
              </w:rPr>
            </w:pPr>
            <w:r>
              <w:rPr>
                <w:rFonts w:hint="eastAsia" w:ascii="宋体" w:hAnsi="宋体" w:eastAsia="宋体" w:cs="宋体"/>
                <w:i w:val="0"/>
                <w:color w:val="000000"/>
                <w:kern w:val="0"/>
                <w:sz w:val="20"/>
                <w:szCs w:val="20"/>
                <w:u w:val="none"/>
                <w:lang w:val="zh-CN" w:eastAsia="zh-CN" w:bidi="ar"/>
              </w:rPr>
              <w:t>云南精诚资产评估有限公司所递交投标文件中投标价（唱标）一览表及投标函中所报计费额度（万元）差额计费率 100以下（含100）为90%，100以上-700为80%高于招标文件第二章“投标人须知”前附表第3.2.4款载明的最高投标限价，故不通过响应性评审。</w:t>
            </w:r>
          </w:p>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zh-CN" w:eastAsia="zh-CN" w:bidi="ar"/>
              </w:rPr>
            </w:pPr>
            <w:r>
              <w:rPr>
                <w:rFonts w:hint="eastAsia" w:ascii="宋体" w:hAnsi="宋体" w:eastAsia="宋体" w:cs="宋体"/>
                <w:i w:val="0"/>
                <w:color w:val="000000"/>
                <w:kern w:val="0"/>
                <w:sz w:val="20"/>
                <w:szCs w:val="20"/>
                <w:u w:val="none"/>
                <w:lang w:val="zh-CN" w:eastAsia="zh-CN" w:bidi="ar"/>
              </w:rPr>
              <w:t>昆明旭坤资产评估有限公司投标文件中投标价（唱标）一览表及投标函中所报计费额度（万元）差额计费率 100以上-700为4%高于招标文件第二章“投标人须知”前附表第3.2.4款载明的最高投标限价，故不通过响应性评审。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exact"/>
          <w:jc w:val="center"/>
        </w:trPr>
        <w:tc>
          <w:tcPr>
            <w:tcW w:w="1747" w:type="dxa"/>
            <w:gridSpan w:val="2"/>
            <w:noWrap w:val="0"/>
            <w:vAlign w:val="center"/>
          </w:tcPr>
          <w:p>
            <w:pPr>
              <w:spacing w:line="240" w:lineRule="exact"/>
              <w:jc w:val="center"/>
              <w:rPr>
                <w:rFonts w:hint="eastAsia" w:ascii="宋体" w:hAnsi="宋体" w:cs="宋体"/>
                <w:color w:val="auto"/>
                <w:szCs w:val="21"/>
                <w:lang w:val="zh-CN" w:bidi="zh-CN"/>
              </w:rPr>
            </w:pPr>
            <w:r>
              <w:rPr>
                <w:rFonts w:hint="eastAsia" w:ascii="宋体" w:hAnsi="宋体" w:cs="宋体"/>
                <w:color w:val="auto"/>
                <w:szCs w:val="21"/>
                <w:lang w:val="zh-CN" w:bidi="zh-CN"/>
              </w:rPr>
              <w:t>招标人审核意见</w:t>
            </w:r>
          </w:p>
        </w:tc>
        <w:tc>
          <w:tcPr>
            <w:tcW w:w="14357" w:type="dxa"/>
            <w:gridSpan w:val="9"/>
            <w:noWrap w:val="0"/>
            <w:vAlign w:val="top"/>
          </w:tcPr>
          <w:p>
            <w:pPr>
              <w:spacing w:line="240" w:lineRule="exact"/>
              <w:jc w:val="center"/>
              <w:rPr>
                <w:rFonts w:hint="eastAsia" w:ascii="宋体" w:hAnsi="宋体" w:cs="宋体"/>
                <w:color w:val="auto"/>
                <w:szCs w:val="21"/>
                <w:lang w:val="zh-CN" w:bidi="zh-CN"/>
              </w:rPr>
            </w:pPr>
          </w:p>
          <w:p>
            <w:pPr>
              <w:spacing w:line="240" w:lineRule="exact"/>
              <w:jc w:val="left"/>
              <w:rPr>
                <w:rFonts w:hint="eastAsia" w:ascii="宋体" w:hAnsi="宋体" w:cs="宋体"/>
                <w:color w:val="auto"/>
                <w:szCs w:val="21"/>
                <w:lang w:val="zh-CN" w:bidi="zh-CN"/>
              </w:rPr>
            </w:pPr>
            <w:r>
              <w:rPr>
                <w:rFonts w:hint="eastAsia" w:ascii="宋体" w:hAnsi="宋体" w:cs="宋体"/>
                <w:color w:val="auto"/>
                <w:szCs w:val="21"/>
                <w:lang w:val="zh-CN" w:bidi="zh-CN"/>
              </w:rPr>
              <w:t>同意，请代理公司代为发布。</w:t>
            </w:r>
          </w:p>
          <w:p>
            <w:pPr>
              <w:spacing w:line="240" w:lineRule="exact"/>
              <w:jc w:val="center"/>
              <w:rPr>
                <w:rFonts w:hint="eastAsia" w:ascii="宋体" w:hAnsi="宋体" w:cs="宋体"/>
                <w:color w:val="auto"/>
                <w:szCs w:val="21"/>
                <w:lang w:val="zh-CN" w:bidi="zh-CN"/>
              </w:rPr>
            </w:pPr>
          </w:p>
          <w:p>
            <w:pPr>
              <w:spacing w:line="240" w:lineRule="exact"/>
              <w:jc w:val="center"/>
              <w:rPr>
                <w:rFonts w:hint="eastAsia" w:ascii="宋体" w:hAnsi="宋体" w:cs="宋体"/>
                <w:color w:val="auto"/>
                <w:szCs w:val="21"/>
                <w:lang w:val="zh-CN" w:bidi="zh-CN"/>
              </w:rPr>
            </w:pPr>
          </w:p>
          <w:p>
            <w:pPr>
              <w:spacing w:line="240" w:lineRule="exact"/>
              <w:jc w:val="center"/>
              <w:rPr>
                <w:rFonts w:hint="eastAsia" w:ascii="宋体" w:hAnsi="宋体" w:cs="宋体"/>
                <w:color w:val="auto"/>
                <w:szCs w:val="21"/>
                <w:lang w:val="zh-CN" w:bidi="zh-CN"/>
              </w:rPr>
            </w:pPr>
            <w:r>
              <w:rPr>
                <w:rFonts w:hint="eastAsia" w:ascii="宋体" w:hAnsi="宋体" w:cs="宋体"/>
                <w:color w:val="auto"/>
                <w:szCs w:val="21"/>
                <w:lang w:val="zh-CN" w:bidi="zh-CN"/>
              </w:rPr>
              <w:t xml:space="preserve">审核人：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6104" w:type="dxa"/>
            <w:gridSpan w:val="11"/>
            <w:noWrap w:val="0"/>
            <w:vAlign w:val="center"/>
          </w:tcPr>
          <w:p>
            <w:pPr>
              <w:spacing w:line="240" w:lineRule="exact"/>
              <w:jc w:val="left"/>
              <w:rPr>
                <w:rFonts w:hint="eastAsia" w:ascii="宋体" w:hAnsi="宋体" w:cs="宋体"/>
                <w:color w:val="auto"/>
                <w:szCs w:val="21"/>
                <w:lang w:val="zh-CN" w:bidi="zh-CN"/>
              </w:rPr>
            </w:pPr>
            <w:r>
              <w:rPr>
                <w:rFonts w:hint="eastAsia" w:ascii="宋体" w:hAnsi="宋体" w:cs="宋体"/>
                <w:color w:val="auto"/>
                <w:szCs w:val="21"/>
                <w:lang w:val="zh-CN" w:bidi="zh-CN"/>
              </w:rPr>
              <w:t>此公示期为3日，若对上述公示有异议，可在公示期内向招标人进行质疑</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52EF5"/>
    <w:rsid w:val="0B852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6"/>
    <w:qFormat/>
    <w:uiPriority w:val="0"/>
    <w:pPr>
      <w:keepNext/>
      <w:keepLines/>
      <w:spacing w:before="340" w:beforeLines="0" w:after="330" w:afterLines="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5">
    <w:name w:val="p0"/>
    <w:basedOn w:val="1"/>
    <w:uiPriority w:val="0"/>
    <w:pPr>
      <w:widowControl/>
    </w:pPr>
    <w:rPr>
      <w:kern w:val="0"/>
      <w:szCs w:val="21"/>
    </w:rPr>
  </w:style>
  <w:style w:type="character" w:customStyle="1" w:styleId="6">
    <w:name w:val="标题 1 Char"/>
    <w:link w:val="2"/>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2019-07-08T01:19:00Z</dcterms:created>
  <dc:creator>GR</dc:creator>
  <cp:lastModifiedBy>GR</cp:lastModifiedBy>
  <dcterms:modified xsi:type="dcterms:W3CDTF">2019-07-08T01:20:05Z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